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782A0" w14:textId="0014C46C" w:rsidR="00CB4413" w:rsidRPr="00863065" w:rsidRDefault="00CB4413" w:rsidP="00CB4413">
      <w:pPr>
        <w:pStyle w:val="a8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WG2 </w:t>
      </w:r>
      <w:r w:rsidRPr="00863065">
        <w:rPr>
          <w:rFonts w:cs="Arial"/>
          <w:lang w:eastAsia="ja-JP"/>
        </w:rPr>
        <w:t>#</w:t>
      </w:r>
      <w:r w:rsidR="00F93F68">
        <w:rPr>
          <w:rFonts w:cs="Arial" w:hint="eastAsia"/>
          <w:lang w:eastAsia="ja-JP"/>
        </w:rPr>
        <w:t>1</w:t>
      </w:r>
      <w:r w:rsidR="00F93F68">
        <w:rPr>
          <w:rFonts w:cs="Arial"/>
          <w:lang w:eastAsia="ja-JP"/>
        </w:rPr>
        <w:t>15</w:t>
      </w:r>
      <w:r w:rsidR="005D6205">
        <w:rPr>
          <w:rFonts w:cs="Arial"/>
          <w:lang w:eastAsia="ja-JP"/>
        </w:rPr>
        <w:t>-</w:t>
      </w:r>
      <w:r w:rsidR="00F93F68">
        <w:rPr>
          <w:rFonts w:cs="Arial"/>
          <w:lang w:eastAsia="ja-JP"/>
        </w:rPr>
        <w:t>e</w:t>
      </w:r>
      <w:r w:rsidRPr="00863065">
        <w:rPr>
          <w:rFonts w:cs="Arial"/>
        </w:rPr>
        <w:tab/>
      </w:r>
      <w:r w:rsidR="00F93F68" w:rsidRPr="00F93F68">
        <w:rPr>
          <w:rFonts w:cs="Arial"/>
          <w:lang w:eastAsia="ja-JP"/>
        </w:rPr>
        <w:t>R2-2107259</w:t>
      </w:r>
    </w:p>
    <w:p w14:paraId="764B177A" w14:textId="2BCAA2D5" w:rsidR="00CB4413" w:rsidRPr="00863065" w:rsidRDefault="005D6205" w:rsidP="00CB4413">
      <w:pPr>
        <w:pStyle w:val="a8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16</w:t>
      </w:r>
      <w:r w:rsidR="00CB4413">
        <w:rPr>
          <w:rFonts w:cs="Arial" w:hint="eastAsia"/>
          <w:vertAlign w:val="superscript"/>
          <w:lang w:val="en-US" w:eastAsia="ja-JP"/>
        </w:rPr>
        <w:t>th</w:t>
      </w:r>
      <w:r w:rsidR="00CB4413">
        <w:rPr>
          <w:rFonts w:cs="Arial" w:hint="eastAsia"/>
          <w:lang w:val="en-US" w:eastAsia="ja-JP"/>
        </w:rPr>
        <w:t xml:space="preserve"> </w:t>
      </w:r>
      <w:r w:rsidR="00CB4413"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27</w:t>
      </w:r>
      <w:r w:rsidR="00CB4413">
        <w:rPr>
          <w:rFonts w:cs="Arial" w:hint="eastAsia"/>
          <w:vertAlign w:val="superscript"/>
          <w:lang w:val="en-US" w:eastAsia="ja-JP"/>
        </w:rPr>
        <w:t>th</w:t>
      </w:r>
      <w:r w:rsidR="00CB4413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August</w:t>
      </w:r>
      <w:r w:rsidR="00CB4413" w:rsidRPr="00802E96">
        <w:rPr>
          <w:rFonts w:cs="Arial"/>
          <w:lang w:val="en-US" w:eastAsia="ja-JP"/>
        </w:rPr>
        <w:t xml:space="preserve"> 20</w:t>
      </w:r>
      <w:r>
        <w:rPr>
          <w:rFonts w:cs="Arial"/>
          <w:lang w:val="en-US" w:eastAsia="ja-JP"/>
        </w:rPr>
        <w:t>21</w:t>
      </w:r>
    </w:p>
    <w:p w14:paraId="39D09DFB" w14:textId="14F69C8F" w:rsidR="00CB4413" w:rsidRPr="00863065" w:rsidRDefault="005D6205" w:rsidP="00CB4413">
      <w:pPr>
        <w:pStyle w:val="a8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Online</w:t>
      </w:r>
    </w:p>
    <w:p w14:paraId="13496700" w14:textId="77777777" w:rsidR="00CB4413" w:rsidRPr="00863065" w:rsidRDefault="00CB4413" w:rsidP="00CB4413">
      <w:pPr>
        <w:pStyle w:val="a8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0201230D" w14:textId="77777777" w:rsidR="00CB4413" w:rsidRPr="00863065" w:rsidRDefault="00CB4413" w:rsidP="00CB441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>
        <w:rPr>
          <w:rFonts w:ascii="Arial" w:hAnsi="Arial" w:cs="Arial"/>
          <w:b/>
          <w:sz w:val="24"/>
          <w:lang w:val="en-US" w:eastAsia="ja-JP"/>
        </w:rPr>
        <w:tab/>
      </w:r>
      <w:r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14:paraId="00AA581C" w14:textId="25D3761A" w:rsidR="00CB4413" w:rsidRPr="00863065" w:rsidRDefault="00CB4413" w:rsidP="00CB4413">
      <w:pPr>
        <w:keepNext/>
        <w:pBdr>
          <w:top w:val="single" w:sz="4" w:space="1" w:color="auto"/>
        </w:pBdr>
        <w:tabs>
          <w:tab w:val="left" w:pos="2309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586EF2">
        <w:rPr>
          <w:rFonts w:ascii="Arial" w:hAnsi="Arial" w:cs="Arial"/>
          <w:b/>
          <w:sz w:val="24"/>
        </w:rPr>
        <w:tab/>
      </w:r>
      <w:r w:rsidR="00B13BE8">
        <w:rPr>
          <w:rFonts w:ascii="Arial" w:hAnsi="Arial" w:cs="Arial"/>
          <w:b/>
          <w:sz w:val="24"/>
        </w:rPr>
        <w:t>Discussion on Idle/I</w:t>
      </w:r>
      <w:r w:rsidR="00586EF2">
        <w:rPr>
          <w:rFonts w:ascii="Arial" w:hAnsi="Arial" w:cs="Arial"/>
          <w:b/>
          <w:sz w:val="24"/>
        </w:rPr>
        <w:t>nactive</w:t>
      </w:r>
      <w:r>
        <w:rPr>
          <w:rFonts w:ascii="Arial" w:hAnsi="Arial" w:cs="Arial"/>
          <w:b/>
          <w:sz w:val="24"/>
        </w:rPr>
        <w:t xml:space="preserve"> Measurement </w:t>
      </w:r>
      <w:r w:rsidR="00B13BE8">
        <w:rPr>
          <w:rFonts w:ascii="Arial" w:hAnsi="Arial" w:cs="Arial"/>
          <w:b/>
          <w:sz w:val="24"/>
        </w:rPr>
        <w:br/>
      </w:r>
      <w:r>
        <w:rPr>
          <w:rFonts w:ascii="Arial" w:hAnsi="Arial" w:cs="Arial"/>
          <w:b/>
          <w:sz w:val="24"/>
        </w:rPr>
        <w:t>for Load Distribution</w:t>
      </w:r>
    </w:p>
    <w:p w14:paraId="2202C7FF" w14:textId="77777777" w:rsidR="00CB4413" w:rsidRPr="00863065" w:rsidRDefault="00CB4413" w:rsidP="00CB4413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5FBF5759" w14:textId="66AC9E09" w:rsidR="00CB4413" w:rsidRPr="00863065" w:rsidRDefault="00CB4413" w:rsidP="00CB4413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  <w:lang w:eastAsia="ja-JP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7444B7">
        <w:rPr>
          <w:rFonts w:ascii="Arial" w:hAnsi="Arial" w:cs="Arial" w:hint="eastAsia"/>
          <w:b/>
          <w:sz w:val="24"/>
          <w:lang w:eastAsia="ja-JP"/>
        </w:rPr>
        <w:t>8</w:t>
      </w:r>
      <w:r w:rsidR="007444B7">
        <w:rPr>
          <w:rFonts w:ascii="Arial" w:hAnsi="Arial" w:cs="Arial"/>
          <w:b/>
          <w:sz w:val="24"/>
          <w:lang w:eastAsia="ja-JP"/>
        </w:rPr>
        <w:t>.21.2.1</w:t>
      </w:r>
    </w:p>
    <w:p w14:paraId="4A86D699" w14:textId="77777777" w:rsidR="00CB4413" w:rsidRDefault="00CB4413" w:rsidP="00CB4413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06AB4EAB" w14:textId="2131964E" w:rsidR="00FA71DC" w:rsidRPr="00280561" w:rsidRDefault="00FA71DC" w:rsidP="00CB4413">
      <w:pPr>
        <w:rPr>
          <w:lang w:eastAsia="ja-JP"/>
        </w:rPr>
      </w:pPr>
      <w:r>
        <w:rPr>
          <w:lang w:eastAsia="ja-JP"/>
        </w:rPr>
        <w:t xml:space="preserve">For early establishment of DC/CA, </w:t>
      </w:r>
      <w:r w:rsidR="002854B0">
        <w:rPr>
          <w:lang w:eastAsia="ja-JP"/>
        </w:rPr>
        <w:t>i</w:t>
      </w:r>
      <w:r>
        <w:rPr>
          <w:lang w:eastAsia="ja-JP"/>
        </w:rPr>
        <w:t>dle/</w:t>
      </w:r>
      <w:r w:rsidR="00923D6E">
        <w:rPr>
          <w:lang w:eastAsia="ja-JP"/>
        </w:rPr>
        <w:t>i</w:t>
      </w:r>
      <w:r>
        <w:rPr>
          <w:lang w:eastAsia="ja-JP"/>
        </w:rPr>
        <w:t xml:space="preserve">nactive </w:t>
      </w:r>
      <w:r w:rsidR="00923D6E">
        <w:rPr>
          <w:lang w:eastAsia="ja-JP"/>
        </w:rPr>
        <w:t>m</w:t>
      </w:r>
      <w:r>
        <w:rPr>
          <w:lang w:eastAsia="ja-JP"/>
        </w:rPr>
        <w:t>easurement has been discussed. This paper propose</w:t>
      </w:r>
      <w:r w:rsidR="00923D6E">
        <w:rPr>
          <w:lang w:eastAsia="ja-JP"/>
        </w:rPr>
        <w:t>s</w:t>
      </w:r>
      <w:r>
        <w:rPr>
          <w:lang w:eastAsia="ja-JP"/>
        </w:rPr>
        <w:t xml:space="preserve"> </w:t>
      </w:r>
      <w:r w:rsidR="00923D6E">
        <w:rPr>
          <w:lang w:eastAsia="ja-JP"/>
        </w:rPr>
        <w:t>l</w:t>
      </w:r>
      <w:r>
        <w:rPr>
          <w:lang w:eastAsia="ja-JP"/>
        </w:rPr>
        <w:t xml:space="preserve">oad </w:t>
      </w:r>
      <w:r w:rsidR="00923D6E">
        <w:rPr>
          <w:lang w:eastAsia="ja-JP"/>
        </w:rPr>
        <w:t>d</w:t>
      </w:r>
      <w:r>
        <w:rPr>
          <w:lang w:eastAsia="ja-JP"/>
        </w:rPr>
        <w:t>istribution as a use</w:t>
      </w:r>
      <w:r w:rsidR="00923D6E">
        <w:rPr>
          <w:lang w:eastAsia="ja-JP"/>
        </w:rPr>
        <w:t xml:space="preserve"> </w:t>
      </w:r>
      <w:r>
        <w:rPr>
          <w:lang w:eastAsia="ja-JP"/>
        </w:rPr>
        <w:t xml:space="preserve">case of </w:t>
      </w:r>
      <w:r w:rsidR="00923D6E">
        <w:rPr>
          <w:lang w:eastAsia="ja-JP"/>
        </w:rPr>
        <w:t>i</w:t>
      </w:r>
      <w:r>
        <w:rPr>
          <w:lang w:eastAsia="ja-JP"/>
        </w:rPr>
        <w:t>dle/</w:t>
      </w:r>
      <w:r w:rsidR="00923D6E">
        <w:rPr>
          <w:lang w:eastAsia="ja-JP"/>
        </w:rPr>
        <w:t>i</w:t>
      </w:r>
      <w:r>
        <w:rPr>
          <w:lang w:eastAsia="ja-JP"/>
        </w:rPr>
        <w:t xml:space="preserve">nactive </w:t>
      </w:r>
      <w:r w:rsidR="00923D6E">
        <w:rPr>
          <w:lang w:eastAsia="ja-JP"/>
        </w:rPr>
        <w:t>m</w:t>
      </w:r>
      <w:r>
        <w:rPr>
          <w:lang w:eastAsia="ja-JP"/>
        </w:rPr>
        <w:t>easurement, and also propose</w:t>
      </w:r>
      <w:r w:rsidR="00923D6E">
        <w:rPr>
          <w:lang w:eastAsia="ja-JP"/>
        </w:rPr>
        <w:t>s</w:t>
      </w:r>
      <w:r w:rsidR="00B9179C">
        <w:rPr>
          <w:lang w:eastAsia="ja-JP"/>
        </w:rPr>
        <w:t xml:space="preserve"> additional functions of idle/i</w:t>
      </w:r>
      <w:r>
        <w:rPr>
          <w:lang w:eastAsia="ja-JP"/>
        </w:rPr>
        <w:t>nactive measurement.</w:t>
      </w:r>
    </w:p>
    <w:p w14:paraId="006E32D1" w14:textId="77777777" w:rsidR="00CB4413" w:rsidRDefault="00CB4413" w:rsidP="00CB4413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13B4D629" w14:textId="21497D0D" w:rsidR="00FA71DC" w:rsidRPr="00BD5B65" w:rsidRDefault="00BD5B65" w:rsidP="00A01228">
      <w:pPr>
        <w:rPr>
          <w:lang w:eastAsia="ja-JP"/>
        </w:rPr>
      </w:pPr>
      <w:r>
        <w:rPr>
          <w:lang w:eastAsia="ja-JP"/>
        </w:rPr>
        <w:t xml:space="preserve">Load </w:t>
      </w:r>
      <w:r w:rsidR="00923D6E">
        <w:rPr>
          <w:lang w:eastAsia="ja-JP"/>
        </w:rPr>
        <w:t>d</w:t>
      </w:r>
      <w:r>
        <w:rPr>
          <w:lang w:eastAsia="ja-JP"/>
        </w:rPr>
        <w:t>istribution is an effective measure</w:t>
      </w:r>
      <w:r w:rsidR="006E5790" w:rsidRPr="006E5790">
        <w:rPr>
          <w:rFonts w:hint="eastAsia"/>
          <w:lang w:eastAsia="ja-JP"/>
        </w:rPr>
        <w:t xml:space="preserve"> </w:t>
      </w:r>
      <w:r w:rsidR="006E5790">
        <w:rPr>
          <w:rFonts w:hint="eastAsia"/>
          <w:lang w:eastAsia="ja-JP"/>
        </w:rPr>
        <w:t>t</w:t>
      </w:r>
      <w:r w:rsidR="006E5790">
        <w:rPr>
          <w:lang w:eastAsia="ja-JP"/>
        </w:rPr>
        <w:t>o prevent the degradation of the user experience which results from congestion in a particular frequency band</w:t>
      </w:r>
      <w:r>
        <w:rPr>
          <w:lang w:eastAsia="ja-JP"/>
        </w:rPr>
        <w:t xml:space="preserve">. </w:t>
      </w:r>
      <w:r w:rsidR="00AB250C">
        <w:rPr>
          <w:lang w:eastAsia="ja-JP"/>
        </w:rPr>
        <w:t xml:space="preserve">Moreover, by </w:t>
      </w:r>
      <w:r>
        <w:rPr>
          <w:lang w:eastAsia="ja-JP"/>
        </w:rPr>
        <w:t xml:space="preserve">using the cell quality information obtained from measurement reports, </w:t>
      </w:r>
      <w:r w:rsidR="00923D6E">
        <w:rPr>
          <w:lang w:eastAsia="ja-JP"/>
        </w:rPr>
        <w:t xml:space="preserve">the network </w:t>
      </w:r>
      <w:r>
        <w:rPr>
          <w:lang w:eastAsia="ja-JP"/>
        </w:rPr>
        <w:t xml:space="preserve">can select a cell with better </w:t>
      </w:r>
      <w:r w:rsidR="00AB250C">
        <w:rPr>
          <w:lang w:eastAsia="ja-JP"/>
        </w:rPr>
        <w:t xml:space="preserve">radio </w:t>
      </w:r>
      <w:r>
        <w:rPr>
          <w:lang w:eastAsia="ja-JP"/>
        </w:rPr>
        <w:t>quality as the distribution destination, and throughput of the UE will be improved.</w:t>
      </w:r>
    </w:p>
    <w:p w14:paraId="6B8BC69B" w14:textId="3C94C368" w:rsidR="00A06A62" w:rsidRDefault="00A06A62" w:rsidP="00A01228">
      <w:pPr>
        <w:rPr>
          <w:b/>
          <w:lang w:eastAsia="ja-JP"/>
        </w:rPr>
      </w:pPr>
      <w:r>
        <w:rPr>
          <w:rFonts w:hint="eastAsia"/>
          <w:b/>
          <w:lang w:eastAsia="ja-JP"/>
        </w:rPr>
        <w:t>O</w:t>
      </w:r>
      <w:r>
        <w:rPr>
          <w:b/>
          <w:lang w:eastAsia="ja-JP"/>
        </w:rPr>
        <w:t>bservation 1:</w:t>
      </w:r>
      <w:r w:rsidR="00923D6E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In </w:t>
      </w:r>
      <w:r w:rsidR="00AB250C">
        <w:rPr>
          <w:b/>
          <w:lang w:eastAsia="ja-JP"/>
        </w:rPr>
        <w:t>load distribution</w:t>
      </w:r>
      <w:r>
        <w:rPr>
          <w:b/>
          <w:lang w:eastAsia="ja-JP"/>
        </w:rPr>
        <w:t xml:space="preserve">, by using cell quality information obtained from measurement reports, </w:t>
      </w:r>
      <w:r w:rsidR="00AB250C">
        <w:rPr>
          <w:b/>
          <w:lang w:eastAsia="ja-JP"/>
        </w:rPr>
        <w:t xml:space="preserve">the network </w:t>
      </w:r>
      <w:r>
        <w:rPr>
          <w:b/>
          <w:lang w:eastAsia="ja-JP"/>
        </w:rPr>
        <w:t>can select a cell with better</w:t>
      </w:r>
      <w:r w:rsidR="00AB250C">
        <w:rPr>
          <w:b/>
          <w:lang w:eastAsia="ja-JP"/>
        </w:rPr>
        <w:t xml:space="preserve"> radio</w:t>
      </w:r>
      <w:r>
        <w:rPr>
          <w:b/>
          <w:lang w:eastAsia="ja-JP"/>
        </w:rPr>
        <w:t xml:space="preserve"> quality as the distribution destination, and throughput of the UE will be improved.</w:t>
      </w:r>
    </w:p>
    <w:p w14:paraId="0A8FBC51" w14:textId="30005AFB" w:rsidR="00D95669" w:rsidRDefault="00B9179C" w:rsidP="00A01228">
      <w:pPr>
        <w:rPr>
          <w:lang w:eastAsia="ja-JP"/>
        </w:rPr>
      </w:pPr>
      <w:r>
        <w:rPr>
          <w:lang w:eastAsia="ja-JP"/>
        </w:rPr>
        <w:t>Idle/i</w:t>
      </w:r>
      <w:r w:rsidR="00A06A62">
        <w:rPr>
          <w:lang w:eastAsia="ja-JP"/>
        </w:rPr>
        <w:t>nactive measurement has been discussed</w:t>
      </w:r>
      <w:r w:rsidR="00923D6E">
        <w:rPr>
          <w:lang w:eastAsia="ja-JP"/>
        </w:rPr>
        <w:t xml:space="preserve"> and specified</w:t>
      </w:r>
      <w:r w:rsidR="00A06A62">
        <w:rPr>
          <w:lang w:eastAsia="ja-JP"/>
        </w:rPr>
        <w:t xml:space="preserve"> up to </w:t>
      </w:r>
      <w:r w:rsidR="00923D6E">
        <w:rPr>
          <w:lang w:eastAsia="ja-JP"/>
        </w:rPr>
        <w:t xml:space="preserve">Rel. </w:t>
      </w:r>
      <w:r w:rsidR="00A06A62">
        <w:rPr>
          <w:lang w:eastAsia="ja-JP"/>
        </w:rPr>
        <w:t>16 [1].</w:t>
      </w:r>
      <w:r w:rsidR="00C524AC">
        <w:rPr>
          <w:lang w:eastAsia="ja-JP"/>
        </w:rPr>
        <w:t xml:space="preserve"> </w:t>
      </w:r>
      <w:r w:rsidR="00D95669">
        <w:rPr>
          <w:lang w:eastAsia="ja-JP"/>
        </w:rPr>
        <w:t>The purpose of idle/inactive measurement is early establishment of DC/CA</w:t>
      </w:r>
      <w:r w:rsidR="00A06A62">
        <w:rPr>
          <w:lang w:eastAsia="ja-JP"/>
        </w:rPr>
        <w:t xml:space="preserve">. </w:t>
      </w:r>
      <w:r w:rsidR="00E1365D">
        <w:rPr>
          <w:lang w:eastAsia="ja-JP"/>
        </w:rPr>
        <w:t>The network</w:t>
      </w:r>
      <w:r w:rsidR="00D95669">
        <w:rPr>
          <w:lang w:eastAsia="ja-JP"/>
        </w:rPr>
        <w:t xml:space="preserve"> direct</w:t>
      </w:r>
      <w:r w:rsidR="00AB250C">
        <w:rPr>
          <w:lang w:eastAsia="ja-JP"/>
        </w:rPr>
        <w:t>s</w:t>
      </w:r>
      <w:r w:rsidR="00D95669">
        <w:rPr>
          <w:lang w:eastAsia="ja-JP"/>
        </w:rPr>
        <w:t xml:space="preserve"> UE to run idle/inactive measurement, and UE measure</w:t>
      </w:r>
      <w:r w:rsidR="00AB250C">
        <w:rPr>
          <w:lang w:eastAsia="ja-JP"/>
        </w:rPr>
        <w:t>s</w:t>
      </w:r>
      <w:r w:rsidR="00D95669">
        <w:rPr>
          <w:lang w:eastAsia="ja-JP"/>
        </w:rPr>
        <w:t xml:space="preserve"> </w:t>
      </w:r>
      <w:r w:rsidR="00AB250C">
        <w:rPr>
          <w:lang w:eastAsia="ja-JP"/>
        </w:rPr>
        <w:t xml:space="preserve">the radio </w:t>
      </w:r>
      <w:r w:rsidR="00D95669">
        <w:rPr>
          <w:lang w:eastAsia="ja-JP"/>
        </w:rPr>
        <w:t xml:space="preserve">quality of </w:t>
      </w:r>
      <w:r w:rsidR="00AB250C">
        <w:rPr>
          <w:lang w:eastAsia="ja-JP"/>
        </w:rPr>
        <w:t xml:space="preserve">such </w:t>
      </w:r>
      <w:r w:rsidR="00D95669">
        <w:rPr>
          <w:lang w:eastAsia="ja-JP"/>
        </w:rPr>
        <w:t>cell</w:t>
      </w:r>
      <w:r w:rsidR="00AB250C">
        <w:rPr>
          <w:lang w:eastAsia="ja-JP"/>
        </w:rPr>
        <w:t>s</w:t>
      </w:r>
      <w:r w:rsidR="00D95669">
        <w:rPr>
          <w:lang w:eastAsia="ja-JP"/>
        </w:rPr>
        <w:t xml:space="preserve"> </w:t>
      </w:r>
      <w:r w:rsidR="00C34D41">
        <w:rPr>
          <w:lang w:eastAsia="ja-JP"/>
        </w:rPr>
        <w:t xml:space="preserve">that the UE supports </w:t>
      </w:r>
      <w:r w:rsidR="00AB250C">
        <w:rPr>
          <w:lang w:eastAsia="ja-JP"/>
        </w:rPr>
        <w:t>DC</w:t>
      </w:r>
      <w:r w:rsidR="00C34D41">
        <w:rPr>
          <w:lang w:eastAsia="ja-JP"/>
        </w:rPr>
        <w:t>/CA</w:t>
      </w:r>
      <w:r w:rsidR="00AB250C">
        <w:rPr>
          <w:lang w:eastAsia="ja-JP"/>
        </w:rPr>
        <w:t xml:space="preserve"> with the cell the UE is camping on</w:t>
      </w:r>
      <w:r w:rsidR="00D95669">
        <w:rPr>
          <w:lang w:eastAsia="ja-JP"/>
        </w:rPr>
        <w:t xml:space="preserve">. </w:t>
      </w:r>
      <w:r w:rsidR="00AB250C">
        <w:rPr>
          <w:lang w:eastAsia="ja-JP"/>
        </w:rPr>
        <w:t>Without idle/inactive measurements, in order to take radio quality into account for (P</w:t>
      </w:r>
      <w:proofErr w:type="gramStart"/>
      <w:r w:rsidR="00AB250C">
        <w:rPr>
          <w:lang w:eastAsia="ja-JP"/>
        </w:rPr>
        <w:t>)</w:t>
      </w:r>
      <w:proofErr w:type="spellStart"/>
      <w:r w:rsidR="00AB250C">
        <w:rPr>
          <w:lang w:eastAsia="ja-JP"/>
        </w:rPr>
        <w:t>SCell</w:t>
      </w:r>
      <w:proofErr w:type="spellEnd"/>
      <w:proofErr w:type="gramEnd"/>
      <w:r w:rsidR="00AB250C">
        <w:rPr>
          <w:lang w:eastAsia="ja-JP"/>
        </w:rPr>
        <w:t xml:space="preserve"> selection for</w:t>
      </w:r>
      <w:r w:rsidR="00D95669">
        <w:rPr>
          <w:lang w:eastAsia="ja-JP"/>
        </w:rPr>
        <w:t xml:space="preserve"> DC/CA, </w:t>
      </w:r>
      <w:r w:rsidR="001D30F0">
        <w:rPr>
          <w:lang w:eastAsia="ja-JP"/>
        </w:rPr>
        <w:t>The</w:t>
      </w:r>
      <w:r w:rsidR="00E1365D">
        <w:rPr>
          <w:lang w:eastAsia="ja-JP"/>
        </w:rPr>
        <w:t xml:space="preserve"> </w:t>
      </w:r>
      <w:r w:rsidR="001D30F0">
        <w:rPr>
          <w:lang w:eastAsia="ja-JP"/>
        </w:rPr>
        <w:t>network</w:t>
      </w:r>
      <w:r w:rsidR="00D95669">
        <w:rPr>
          <w:lang w:eastAsia="ja-JP"/>
        </w:rPr>
        <w:t xml:space="preserve"> needs to direct UE to run measurement after </w:t>
      </w:r>
      <w:r w:rsidR="00AB250C">
        <w:rPr>
          <w:lang w:eastAsia="ja-JP"/>
        </w:rPr>
        <w:t>entering</w:t>
      </w:r>
      <w:r w:rsidR="00D95669">
        <w:rPr>
          <w:lang w:eastAsia="ja-JP"/>
        </w:rPr>
        <w:t xml:space="preserve"> RRC_CONNECTED.</w:t>
      </w:r>
      <w:r w:rsidR="00D95669">
        <w:rPr>
          <w:rFonts w:hint="eastAsia"/>
          <w:lang w:eastAsia="ja-JP"/>
        </w:rPr>
        <w:t xml:space="preserve"> </w:t>
      </w:r>
      <w:r w:rsidR="00AB250C">
        <w:rPr>
          <w:lang w:eastAsia="ja-JP"/>
        </w:rPr>
        <w:t xml:space="preserve">With idle/inactive measurements, the UE can perform </w:t>
      </w:r>
      <w:r w:rsidR="00A06A62">
        <w:rPr>
          <w:lang w:eastAsia="ja-JP"/>
        </w:rPr>
        <w:t xml:space="preserve">measurement </w:t>
      </w:r>
      <w:r w:rsidR="00C524AC">
        <w:rPr>
          <w:lang w:eastAsia="ja-JP"/>
        </w:rPr>
        <w:t>before entering RRC_CONNECTED</w:t>
      </w:r>
      <w:r w:rsidR="00A06A62">
        <w:rPr>
          <w:lang w:eastAsia="ja-JP"/>
        </w:rPr>
        <w:t xml:space="preserve"> </w:t>
      </w:r>
      <w:r w:rsidR="00AB250C">
        <w:rPr>
          <w:lang w:eastAsia="ja-JP"/>
        </w:rPr>
        <w:t>and the measurement results can be retrieved after entering RRC_CONNECTED, thus the latency of DC/CA setup can be reduced</w:t>
      </w:r>
      <w:r w:rsidR="00A06A62">
        <w:rPr>
          <w:lang w:eastAsia="ja-JP"/>
        </w:rPr>
        <w:t>.</w:t>
      </w:r>
    </w:p>
    <w:p w14:paraId="185A392B" w14:textId="0A58951E" w:rsidR="00A06A62" w:rsidRDefault="00A06A62" w:rsidP="00A01228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</w:t>
      </w:r>
      <w:r w:rsidR="007A0745">
        <w:rPr>
          <w:lang w:eastAsia="ja-JP"/>
        </w:rPr>
        <w:t xml:space="preserve">advantage </w:t>
      </w:r>
      <w:r>
        <w:rPr>
          <w:lang w:eastAsia="ja-JP"/>
        </w:rPr>
        <w:t xml:space="preserve">of </w:t>
      </w:r>
      <w:r w:rsidR="007A0745">
        <w:rPr>
          <w:lang w:eastAsia="ja-JP"/>
        </w:rPr>
        <w:t>using idle/i</w:t>
      </w:r>
      <w:r>
        <w:rPr>
          <w:lang w:eastAsia="ja-JP"/>
        </w:rPr>
        <w:t xml:space="preserve">nactive measurement </w:t>
      </w:r>
      <w:r w:rsidR="00AB250C">
        <w:rPr>
          <w:rFonts w:hint="eastAsia"/>
          <w:lang w:eastAsia="ja-JP"/>
        </w:rPr>
        <w:t>for</w:t>
      </w:r>
      <w:r>
        <w:rPr>
          <w:lang w:eastAsia="ja-JP"/>
        </w:rPr>
        <w:t xml:space="preserve"> Load Distribution is described below.</w:t>
      </w:r>
    </w:p>
    <w:p w14:paraId="66C66E34" w14:textId="23163049" w:rsidR="00A06A62" w:rsidRDefault="00A06A62" w:rsidP="00A01228">
      <w:pPr>
        <w:rPr>
          <w:lang w:eastAsia="ja-JP"/>
        </w:rPr>
      </w:pPr>
      <w:r>
        <w:rPr>
          <w:lang w:eastAsia="ja-JP"/>
        </w:rPr>
        <w:t xml:space="preserve">There are some possible timing of Load Distribution execution. For example, at </w:t>
      </w:r>
      <w:r w:rsidR="00923D6E">
        <w:rPr>
          <w:lang w:eastAsia="ja-JP"/>
        </w:rPr>
        <w:t xml:space="preserve">the </w:t>
      </w:r>
      <w:r>
        <w:rPr>
          <w:lang w:eastAsia="ja-JP"/>
        </w:rPr>
        <w:t xml:space="preserve">timing of RRC connection release, </w:t>
      </w:r>
      <w:r w:rsidR="00E1365D">
        <w:rPr>
          <w:lang w:eastAsia="ja-JP"/>
        </w:rPr>
        <w:t xml:space="preserve">the network </w:t>
      </w:r>
      <w:r>
        <w:rPr>
          <w:lang w:eastAsia="ja-JP"/>
        </w:rPr>
        <w:t xml:space="preserve">can </w:t>
      </w:r>
      <w:r w:rsidR="00923D6E">
        <w:rPr>
          <w:lang w:eastAsia="ja-JP"/>
        </w:rPr>
        <w:t>re</w:t>
      </w:r>
      <w:r>
        <w:rPr>
          <w:lang w:eastAsia="ja-JP"/>
        </w:rPr>
        <w:t xml:space="preserve">direct </w:t>
      </w:r>
      <w:r w:rsidR="00923D6E">
        <w:rPr>
          <w:lang w:eastAsia="ja-JP"/>
        </w:rPr>
        <w:t xml:space="preserve">the UE by using </w:t>
      </w:r>
      <w:proofErr w:type="spellStart"/>
      <w:r w:rsidR="00923D6E" w:rsidRPr="002854B0">
        <w:rPr>
          <w:i/>
          <w:lang w:eastAsia="ja-JP"/>
        </w:rPr>
        <w:t>redirectedCarrierInfo</w:t>
      </w:r>
      <w:proofErr w:type="spellEnd"/>
      <w:r>
        <w:rPr>
          <w:lang w:eastAsia="ja-JP"/>
        </w:rPr>
        <w:t xml:space="preserve">. </w:t>
      </w:r>
      <w:r w:rsidR="00923D6E">
        <w:rPr>
          <w:lang w:eastAsia="ja-JP"/>
        </w:rPr>
        <w:t xml:space="preserve">As another example, </w:t>
      </w:r>
      <w:r w:rsidR="00AB250C">
        <w:rPr>
          <w:lang w:eastAsia="ja-JP"/>
        </w:rPr>
        <w:t xml:space="preserve">load distribution could be </w:t>
      </w:r>
      <w:r>
        <w:rPr>
          <w:lang w:eastAsia="ja-JP"/>
        </w:rPr>
        <w:t>executed immediately after the transition to RRC_CONNECTED.</w:t>
      </w:r>
    </w:p>
    <w:p w14:paraId="2DC3EA3F" w14:textId="2449604D" w:rsidR="00A06A62" w:rsidRPr="00A06A62" w:rsidRDefault="00A06A62" w:rsidP="00A01228">
      <w:pPr>
        <w:rPr>
          <w:lang w:eastAsia="ja-JP"/>
        </w:rPr>
      </w:pPr>
      <w:r>
        <w:rPr>
          <w:lang w:eastAsia="ja-JP"/>
        </w:rPr>
        <w:t xml:space="preserve">In case of Load Distribution at the start of RRC connection, since measurement reports can be used, the benefits of </w:t>
      </w:r>
      <w:r w:rsidRPr="002854B0">
        <w:rPr>
          <w:lang w:eastAsia="ja-JP"/>
        </w:rPr>
        <w:t>Observation</w:t>
      </w:r>
      <w:r w:rsidR="00923D6E" w:rsidRPr="002854B0">
        <w:rPr>
          <w:lang w:eastAsia="ja-JP"/>
        </w:rPr>
        <w:t xml:space="preserve"> </w:t>
      </w:r>
      <w:r w:rsidRPr="002854B0">
        <w:rPr>
          <w:lang w:eastAsia="ja-JP"/>
        </w:rPr>
        <w:t>1</w:t>
      </w:r>
      <w:r>
        <w:rPr>
          <w:b/>
          <w:lang w:eastAsia="ja-JP"/>
        </w:rPr>
        <w:t xml:space="preserve"> </w:t>
      </w:r>
      <w:r w:rsidRPr="00A06A62">
        <w:rPr>
          <w:lang w:eastAsia="ja-JP"/>
        </w:rPr>
        <w:t>can</w:t>
      </w:r>
      <w:r>
        <w:rPr>
          <w:lang w:eastAsia="ja-JP"/>
        </w:rPr>
        <w:t xml:space="preserve"> be enjoy</w:t>
      </w:r>
      <w:r w:rsidR="00923D6E">
        <w:rPr>
          <w:lang w:eastAsia="ja-JP"/>
        </w:rPr>
        <w:t>ed</w:t>
      </w:r>
      <w:r>
        <w:rPr>
          <w:lang w:eastAsia="ja-JP"/>
        </w:rPr>
        <w:t xml:space="preserve">. On the other hand, the measurement process is time-consuming, causing </w:t>
      </w:r>
      <w:r w:rsidR="00923D6E">
        <w:rPr>
          <w:lang w:eastAsia="ja-JP"/>
        </w:rPr>
        <w:t xml:space="preserve">a delay before the execution of load </w:t>
      </w:r>
      <w:r>
        <w:rPr>
          <w:lang w:eastAsia="ja-JP"/>
        </w:rPr>
        <w:t>distribution</w:t>
      </w:r>
      <w:r w:rsidR="00923D6E">
        <w:rPr>
          <w:lang w:eastAsia="ja-JP"/>
        </w:rPr>
        <w:t>. As the measurements for load distribution are typically inter-frequency measurement, it would also</w:t>
      </w:r>
      <w:r>
        <w:rPr>
          <w:lang w:eastAsia="ja-JP"/>
        </w:rPr>
        <w:t xml:space="preserve"> lower </w:t>
      </w:r>
      <w:r w:rsidR="00923D6E">
        <w:rPr>
          <w:lang w:eastAsia="ja-JP"/>
        </w:rPr>
        <w:t xml:space="preserve">the user </w:t>
      </w:r>
      <w:r>
        <w:rPr>
          <w:lang w:eastAsia="ja-JP"/>
        </w:rPr>
        <w:t>throughput due to measurement gaps.</w:t>
      </w:r>
    </w:p>
    <w:p w14:paraId="155D58B8" w14:textId="6BF41290" w:rsidR="00A06A62" w:rsidRPr="00F37776" w:rsidRDefault="00F37776" w:rsidP="00A01228">
      <w:pPr>
        <w:rPr>
          <w:b/>
          <w:lang w:eastAsia="ja-JP"/>
        </w:rPr>
      </w:pPr>
      <w:r w:rsidRPr="00F37776">
        <w:rPr>
          <w:b/>
          <w:lang w:eastAsia="ja-JP"/>
        </w:rPr>
        <w:t xml:space="preserve">Observation 2: </w:t>
      </w:r>
      <w:r w:rsidR="00923D6E" w:rsidRPr="00F37776">
        <w:rPr>
          <w:b/>
          <w:lang w:eastAsia="ja-JP"/>
        </w:rPr>
        <w:t>By using idle/inactive measurements for load distribution, we can minimize the drawbacks of the measurements mentioned above, i.e., execution delay and need for measurement gaps.</w:t>
      </w:r>
    </w:p>
    <w:p w14:paraId="64368331" w14:textId="5F026491" w:rsidR="00A06A62" w:rsidRDefault="002854B0" w:rsidP="002854B0">
      <w:pPr>
        <w:rPr>
          <w:lang w:val="en-US"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urrent procedure text of idle/inactive measurements is excerpted.</w:t>
      </w:r>
      <w:r w:rsidR="00320EA7">
        <w:rPr>
          <w:lang w:eastAsia="ja-JP"/>
        </w:rPr>
        <w:t>as highl</w:t>
      </w:r>
      <w:bookmarkStart w:id="0" w:name="_GoBack"/>
      <w:bookmarkEnd w:id="0"/>
      <w:r w:rsidR="00320EA7">
        <w:rPr>
          <w:lang w:eastAsia="ja-JP"/>
        </w:rPr>
        <w:t>ighted in the A</w:t>
      </w:r>
      <w:r>
        <w:rPr>
          <w:lang w:eastAsia="ja-JP"/>
        </w:rPr>
        <w:t xml:space="preserve">ppendix, </w:t>
      </w:r>
      <w:r>
        <w:rPr>
          <w:lang w:val="en-US" w:eastAsia="ja-JP"/>
        </w:rPr>
        <w:t>i</w:t>
      </w:r>
      <w:r w:rsidR="00A06A62">
        <w:rPr>
          <w:lang w:val="en-US" w:eastAsia="ja-JP"/>
        </w:rPr>
        <w:t>d</w:t>
      </w:r>
      <w:r>
        <w:rPr>
          <w:lang w:val="en-US" w:eastAsia="ja-JP"/>
        </w:rPr>
        <w:t>le/i</w:t>
      </w:r>
      <w:r w:rsidR="00A06A62">
        <w:rPr>
          <w:lang w:val="en-US" w:eastAsia="ja-JP"/>
        </w:rPr>
        <w:t xml:space="preserve">nactive measurement is only applicable to carriers in the band combination of DC/CA supported by the UE. </w:t>
      </w:r>
      <w:r w:rsidR="00AB250C">
        <w:rPr>
          <w:lang w:val="en-US" w:eastAsia="ja-JP"/>
        </w:rPr>
        <w:t xml:space="preserve">The problem is that the destination of load distribution </w:t>
      </w:r>
      <w:r w:rsidR="00C524AC">
        <w:rPr>
          <w:lang w:val="en-US" w:eastAsia="ja-JP"/>
        </w:rPr>
        <w:t>might be</w:t>
      </w:r>
      <w:r w:rsidR="00AB250C">
        <w:rPr>
          <w:lang w:val="en-US" w:eastAsia="ja-JP"/>
        </w:rPr>
        <w:t xml:space="preserve"> other carrier, the radio quality of which is not measured or reported.</w:t>
      </w:r>
      <w:r w:rsidR="003930F2">
        <w:rPr>
          <w:lang w:val="en-US" w:eastAsia="ja-JP"/>
        </w:rPr>
        <w:t xml:space="preserve"> </w:t>
      </w:r>
      <w:r w:rsidR="00A06A62">
        <w:rPr>
          <w:lang w:val="en-US" w:eastAsia="ja-JP"/>
        </w:rPr>
        <w:t>For example, the following cases are possible.</w:t>
      </w:r>
    </w:p>
    <w:p w14:paraId="22EA7B7A" w14:textId="2266BDAA" w:rsidR="003930F2" w:rsidRPr="002B29A4" w:rsidRDefault="00A06A62" w:rsidP="00365E43">
      <w:pPr>
        <w:rPr>
          <w:lang w:val="en-US" w:eastAsia="ja-JP"/>
        </w:rPr>
      </w:pPr>
      <w:r>
        <w:rPr>
          <w:lang w:val="en-US" w:eastAsia="ja-JP"/>
        </w:rPr>
        <w:t>Case</w:t>
      </w:r>
      <w:r w:rsidR="004852FB">
        <w:rPr>
          <w:lang w:val="en-US" w:eastAsia="ja-JP"/>
        </w:rPr>
        <w:t xml:space="preserve"> </w:t>
      </w:r>
      <w:r>
        <w:rPr>
          <w:lang w:val="en-US" w:eastAsia="ja-JP"/>
        </w:rPr>
        <w:t>1: UE does not support DC/CA.</w:t>
      </w:r>
      <w:r w:rsidR="002B29A4">
        <w:rPr>
          <w:lang w:val="en-US" w:eastAsia="ja-JP"/>
        </w:rPr>
        <w:t xml:space="preserve"> For example, some of </w:t>
      </w:r>
      <w:r w:rsidR="002B29A4" w:rsidRPr="002B29A4">
        <w:rPr>
          <w:lang w:val="en-US" w:eastAsia="ja-JP"/>
        </w:rPr>
        <w:t>low-cost edition</w:t>
      </w:r>
      <w:r w:rsidR="002B29A4">
        <w:rPr>
          <w:lang w:val="en-US" w:eastAsia="ja-JP"/>
        </w:rPr>
        <w:t xml:space="preserve"> UE don’t support</w:t>
      </w:r>
      <w:r w:rsidR="009B5A2E">
        <w:rPr>
          <w:lang w:val="en-US" w:eastAsia="ja-JP"/>
        </w:rPr>
        <w:t xml:space="preserve"> DC/CA</w:t>
      </w:r>
      <w:r w:rsidR="00320EA7">
        <w:rPr>
          <w:lang w:val="en-US" w:eastAsia="ja-JP"/>
        </w:rPr>
        <w:t>.</w:t>
      </w:r>
    </w:p>
    <w:p w14:paraId="46438848" w14:textId="6EE5B670" w:rsidR="002B29A4" w:rsidRDefault="00A06A62" w:rsidP="00C524AC">
      <w:pPr>
        <w:rPr>
          <w:lang w:val="en-US" w:eastAsia="ja-JP"/>
        </w:rPr>
      </w:pPr>
      <w:r>
        <w:rPr>
          <w:rFonts w:hint="eastAsia"/>
          <w:lang w:val="en-US" w:eastAsia="ja-JP"/>
        </w:rPr>
        <w:t>C</w:t>
      </w:r>
      <w:r>
        <w:rPr>
          <w:lang w:val="en-US" w:eastAsia="ja-JP"/>
        </w:rPr>
        <w:t>ase</w:t>
      </w:r>
      <w:r w:rsidR="004852FB">
        <w:rPr>
          <w:lang w:val="en-US" w:eastAsia="ja-JP"/>
        </w:rPr>
        <w:t xml:space="preserve"> </w:t>
      </w:r>
      <w:r>
        <w:rPr>
          <w:lang w:val="en-US" w:eastAsia="ja-JP"/>
        </w:rPr>
        <w:t xml:space="preserve">2: </w:t>
      </w:r>
      <w:r w:rsidR="00E1365D">
        <w:rPr>
          <w:lang w:val="en-US" w:eastAsia="ja-JP"/>
        </w:rPr>
        <w:t>The network</w:t>
      </w:r>
      <w:r>
        <w:rPr>
          <w:lang w:val="en-US" w:eastAsia="ja-JP"/>
        </w:rPr>
        <w:t xml:space="preserve"> </w:t>
      </w:r>
      <w:r w:rsidR="00AB250C">
        <w:rPr>
          <w:lang w:val="en-US" w:eastAsia="ja-JP"/>
        </w:rPr>
        <w:t xml:space="preserve">might </w:t>
      </w:r>
      <w:r>
        <w:rPr>
          <w:lang w:val="en-US" w:eastAsia="ja-JP"/>
        </w:rPr>
        <w:t xml:space="preserve">want to use a band </w:t>
      </w:r>
      <w:r w:rsidR="00AB250C">
        <w:rPr>
          <w:lang w:val="en-US" w:eastAsia="ja-JP"/>
        </w:rPr>
        <w:t xml:space="preserve">where the UE </w:t>
      </w:r>
      <w:r w:rsidR="00C524AC">
        <w:rPr>
          <w:lang w:val="en-US" w:eastAsia="ja-JP"/>
        </w:rPr>
        <w:t>does not</w:t>
      </w:r>
      <w:r>
        <w:rPr>
          <w:lang w:val="en-US" w:eastAsia="ja-JP"/>
        </w:rPr>
        <w:t xml:space="preserve"> support DC/CA</w:t>
      </w:r>
      <w:r w:rsidR="00AB250C">
        <w:rPr>
          <w:lang w:val="en-US" w:eastAsia="ja-JP"/>
        </w:rPr>
        <w:t xml:space="preserve"> with serving carrier</w:t>
      </w:r>
      <w:r>
        <w:rPr>
          <w:lang w:val="en-US" w:eastAsia="ja-JP"/>
        </w:rPr>
        <w:t xml:space="preserve"> as </w:t>
      </w:r>
      <w:r w:rsidR="00AB250C">
        <w:rPr>
          <w:lang w:val="en-US" w:eastAsia="ja-JP"/>
        </w:rPr>
        <w:t>the destination of load distribution</w:t>
      </w:r>
      <w:r>
        <w:rPr>
          <w:lang w:val="en-US" w:eastAsia="ja-JP"/>
        </w:rPr>
        <w:t>.</w:t>
      </w:r>
      <w:r w:rsidR="002B29A4">
        <w:rPr>
          <w:lang w:val="en-US" w:eastAsia="ja-JP"/>
        </w:rPr>
        <w:t xml:space="preserve"> </w:t>
      </w:r>
      <w:r w:rsidR="00AB250C">
        <w:rPr>
          <w:lang w:val="en-US" w:eastAsia="ja-JP"/>
        </w:rPr>
        <w:t xml:space="preserve">In some band combination, </w:t>
      </w:r>
      <w:r w:rsidR="00C524AC">
        <w:rPr>
          <w:lang w:val="en-US" w:eastAsia="ja-JP"/>
        </w:rPr>
        <w:t>the</w:t>
      </w:r>
      <w:r w:rsidR="00AB250C">
        <w:rPr>
          <w:lang w:val="en-US" w:eastAsia="ja-JP"/>
        </w:rPr>
        <w:t xml:space="preserve"> UE does not necessarily support DC/CA even if non-CA operation is supported for each band in the band combination, due to e.g. intermodulation</w:t>
      </w:r>
      <w:r w:rsidR="00320EA7">
        <w:rPr>
          <w:lang w:val="en-US" w:eastAsia="ja-JP"/>
        </w:rPr>
        <w:t>.</w:t>
      </w:r>
    </w:p>
    <w:p w14:paraId="4646C3B5" w14:textId="0F2DFD82" w:rsidR="00A06A62" w:rsidRDefault="00A06A62" w:rsidP="007444B7">
      <w:pPr>
        <w:rPr>
          <w:b/>
          <w:lang w:val="en-US" w:eastAsia="ja-JP"/>
        </w:rPr>
      </w:pPr>
      <w:r>
        <w:rPr>
          <w:rFonts w:hint="eastAsia"/>
          <w:b/>
          <w:lang w:eastAsia="ja-JP"/>
        </w:rPr>
        <w:lastRenderedPageBreak/>
        <w:t>O</w:t>
      </w:r>
      <w:r>
        <w:rPr>
          <w:b/>
          <w:lang w:eastAsia="ja-JP"/>
        </w:rPr>
        <w:t>bservation</w:t>
      </w:r>
      <w:r w:rsidR="00AB250C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3: Since the </w:t>
      </w:r>
      <w:r w:rsidR="00923D6E">
        <w:rPr>
          <w:b/>
          <w:lang w:eastAsia="ja-JP"/>
        </w:rPr>
        <w:t>main use case</w:t>
      </w:r>
      <w:r>
        <w:rPr>
          <w:b/>
          <w:lang w:eastAsia="ja-JP"/>
        </w:rPr>
        <w:t xml:space="preserve"> of </w:t>
      </w:r>
      <w:r w:rsidR="00923D6E">
        <w:rPr>
          <w:b/>
          <w:lang w:eastAsia="ja-JP"/>
        </w:rPr>
        <w:t xml:space="preserve">current </w:t>
      </w:r>
      <w:r>
        <w:rPr>
          <w:b/>
          <w:lang w:eastAsia="ja-JP"/>
        </w:rPr>
        <w:t xml:space="preserve">Idle/Inactive measurement is DC/CA, </w:t>
      </w:r>
      <w:r w:rsidR="00AB250C">
        <w:rPr>
          <w:b/>
          <w:lang w:eastAsia="ja-JP"/>
        </w:rPr>
        <w:t xml:space="preserve">the radio quality of some carriers are not reported, which </w:t>
      </w:r>
      <w:r w:rsidR="00855F08">
        <w:rPr>
          <w:b/>
          <w:lang w:eastAsia="ja-JP"/>
        </w:rPr>
        <w:t>hinders</w:t>
      </w:r>
      <w:r w:rsidR="00AB250C">
        <w:rPr>
          <w:b/>
          <w:lang w:eastAsia="ja-JP"/>
        </w:rPr>
        <w:t xml:space="preserve"> the application of idle/inactive measurement to load distribution</w:t>
      </w:r>
      <w:r>
        <w:rPr>
          <w:b/>
          <w:lang w:eastAsia="ja-JP"/>
        </w:rPr>
        <w:t xml:space="preserve">. For example, in the case of a UE don’t support DC/CA, or </w:t>
      </w:r>
      <w:r w:rsidR="00E1365D">
        <w:rPr>
          <w:b/>
          <w:lang w:eastAsia="ja-JP"/>
        </w:rPr>
        <w:t xml:space="preserve">the network </w:t>
      </w:r>
      <w:r w:rsidRPr="00A06A62">
        <w:rPr>
          <w:b/>
          <w:lang w:val="en-US" w:eastAsia="ja-JP"/>
        </w:rPr>
        <w:t xml:space="preserve">wants to use a </w:t>
      </w:r>
      <w:r w:rsidR="00FE343D">
        <w:rPr>
          <w:b/>
          <w:lang w:val="en-US" w:eastAsia="ja-JP"/>
        </w:rPr>
        <w:t xml:space="preserve">cell </w:t>
      </w:r>
      <w:r w:rsidRPr="00A06A62">
        <w:rPr>
          <w:b/>
          <w:lang w:val="en-US" w:eastAsia="ja-JP"/>
        </w:rPr>
        <w:t>that don’t support DC/CA as a candidate for Band Distribution.</w:t>
      </w:r>
    </w:p>
    <w:p w14:paraId="7DA87351" w14:textId="3A6BE35F" w:rsidR="00C524AC" w:rsidRPr="00C524AC" w:rsidRDefault="00C524AC" w:rsidP="007444B7">
      <w:pPr>
        <w:rPr>
          <w:lang w:val="en-US" w:eastAsia="ja-JP"/>
        </w:rPr>
      </w:pPr>
      <w:r>
        <w:rPr>
          <w:lang w:val="en-US" w:eastAsia="ja-JP"/>
        </w:rPr>
        <w:t>Thus, for load distribution, e</w:t>
      </w:r>
      <w:r w:rsidRPr="002B29A4">
        <w:rPr>
          <w:lang w:val="en-US" w:eastAsia="ja-JP"/>
        </w:rPr>
        <w:t>xisting idle/inactive measureme</w:t>
      </w:r>
      <w:r>
        <w:rPr>
          <w:lang w:val="en-US" w:eastAsia="ja-JP"/>
        </w:rPr>
        <w:t>n</w:t>
      </w:r>
      <w:r w:rsidRPr="002B29A4">
        <w:rPr>
          <w:lang w:val="en-US" w:eastAsia="ja-JP"/>
        </w:rPr>
        <w:t xml:space="preserve">t needs to be updated to </w:t>
      </w:r>
      <w:r>
        <w:rPr>
          <w:lang w:val="en-US" w:eastAsia="ja-JP"/>
        </w:rPr>
        <w:t>ensure that all the candidate carriers can be measured.</w:t>
      </w:r>
    </w:p>
    <w:p w14:paraId="764787CC" w14:textId="64B3CD8E" w:rsidR="003F41E1" w:rsidRPr="003F41E1" w:rsidRDefault="00A06A62" w:rsidP="006F7798">
      <w:pPr>
        <w:rPr>
          <w:lang w:eastAsia="ja-JP"/>
        </w:rPr>
      </w:pPr>
      <w:r>
        <w:rPr>
          <w:lang w:val="en-US" w:eastAsia="ja-JP"/>
        </w:rPr>
        <w:t>Based on the above</w:t>
      </w:r>
      <w:r w:rsidR="00923D6E">
        <w:rPr>
          <w:lang w:val="en-US" w:eastAsia="ja-JP"/>
        </w:rPr>
        <w:t xml:space="preserve"> discussion</w:t>
      </w:r>
      <w:r>
        <w:rPr>
          <w:lang w:val="en-US" w:eastAsia="ja-JP"/>
        </w:rPr>
        <w:t>, this paper propose</w:t>
      </w:r>
      <w:r w:rsidR="00923D6E">
        <w:rPr>
          <w:lang w:val="en-US" w:eastAsia="ja-JP"/>
        </w:rPr>
        <w:t>s</w:t>
      </w:r>
      <w:r w:rsidR="00244E4D">
        <w:rPr>
          <w:lang w:val="en-US" w:eastAsia="ja-JP"/>
        </w:rPr>
        <w:t xml:space="preserve"> the use of idle/i</w:t>
      </w:r>
      <w:r>
        <w:rPr>
          <w:lang w:val="en-US" w:eastAsia="ja-JP"/>
        </w:rPr>
        <w:t xml:space="preserve">nactive measurement to improve the Load Distribution. </w:t>
      </w:r>
      <w:r w:rsidR="006F7798">
        <w:rPr>
          <w:lang w:val="en-US" w:eastAsia="ja-JP"/>
        </w:rPr>
        <w:t>To realize this</w:t>
      </w:r>
      <w:r w:rsidR="003F41E1">
        <w:rPr>
          <w:lang w:eastAsia="ja-JP"/>
        </w:rPr>
        <w:t xml:space="preserve">, </w:t>
      </w:r>
      <w:r w:rsidR="00C5250E">
        <w:rPr>
          <w:lang w:eastAsia="ja-JP"/>
        </w:rPr>
        <w:t xml:space="preserve">we propose to </w:t>
      </w:r>
      <w:r w:rsidR="003F41E1">
        <w:rPr>
          <w:lang w:eastAsia="ja-JP"/>
        </w:rPr>
        <w:t>a</w:t>
      </w:r>
      <w:r w:rsidR="003F41E1" w:rsidRPr="00A06A62">
        <w:rPr>
          <w:lang w:eastAsia="ja-JP"/>
        </w:rPr>
        <w:t>d</w:t>
      </w:r>
      <w:r w:rsidR="00C5250E">
        <w:rPr>
          <w:lang w:eastAsia="ja-JP"/>
        </w:rPr>
        <w:t xml:space="preserve">d a new </w:t>
      </w:r>
      <w:r w:rsidR="006F7798">
        <w:rPr>
          <w:lang w:eastAsia="ja-JP"/>
        </w:rPr>
        <w:t>signalling which indicates</w:t>
      </w:r>
      <w:r w:rsidR="003F41E1" w:rsidRPr="00A06A62">
        <w:rPr>
          <w:lang w:eastAsia="ja-JP"/>
        </w:rPr>
        <w:t xml:space="preserve"> that </w:t>
      </w:r>
      <w:r w:rsidR="00303DFD">
        <w:rPr>
          <w:lang w:eastAsia="ja-JP"/>
        </w:rPr>
        <w:t xml:space="preserve">the </w:t>
      </w:r>
      <w:r w:rsidR="003F41E1" w:rsidRPr="00A06A62">
        <w:rPr>
          <w:lang w:eastAsia="ja-JP"/>
        </w:rPr>
        <w:t xml:space="preserve">carriers </w:t>
      </w:r>
      <w:r w:rsidR="00303DFD">
        <w:rPr>
          <w:lang w:eastAsia="ja-JP"/>
        </w:rPr>
        <w:t>where the UE does not</w:t>
      </w:r>
      <w:r w:rsidR="003F41E1">
        <w:rPr>
          <w:lang w:eastAsia="ja-JP"/>
        </w:rPr>
        <w:t xml:space="preserve"> support DC/CA</w:t>
      </w:r>
      <w:r w:rsidR="003F41E1" w:rsidRPr="00A06A62">
        <w:rPr>
          <w:lang w:eastAsia="ja-JP"/>
        </w:rPr>
        <w:t xml:space="preserve"> are also subject to measurement</w:t>
      </w:r>
      <w:r w:rsidR="003F41E1">
        <w:rPr>
          <w:lang w:eastAsia="ja-JP"/>
        </w:rPr>
        <w:t>.</w:t>
      </w:r>
    </w:p>
    <w:p w14:paraId="6D4588A8" w14:textId="122F9016" w:rsidR="00A06A62" w:rsidRPr="00303DFD" w:rsidRDefault="008C35E9" w:rsidP="00365E43">
      <w:pPr>
        <w:rPr>
          <w:b/>
        </w:rPr>
      </w:pPr>
      <w:r w:rsidRPr="008C35E9">
        <w:rPr>
          <w:b/>
          <w:lang w:val="en-US" w:eastAsia="ja-JP"/>
        </w:rPr>
        <w:t>Proposal</w:t>
      </w:r>
      <w:r w:rsidR="00EC71C4">
        <w:rPr>
          <w:b/>
          <w:lang w:val="en-US" w:eastAsia="ja-JP"/>
        </w:rPr>
        <w:t xml:space="preserve"> 1:</w:t>
      </w:r>
      <w:r>
        <w:rPr>
          <w:lang w:val="en-US" w:eastAsia="ja-JP"/>
        </w:rPr>
        <w:t xml:space="preserve"> </w:t>
      </w:r>
      <w:r w:rsidR="00303DFD" w:rsidRPr="00C524AC">
        <w:rPr>
          <w:b/>
          <w:lang w:eastAsia="ja-JP"/>
        </w:rPr>
        <w:t xml:space="preserve">Add a new signalling which indicates that </w:t>
      </w:r>
      <w:r w:rsidR="00303DFD">
        <w:rPr>
          <w:b/>
          <w:lang w:eastAsia="ja-JP"/>
        </w:rPr>
        <w:t xml:space="preserve">the </w:t>
      </w:r>
      <w:r w:rsidR="00303DFD" w:rsidRPr="00C524AC">
        <w:rPr>
          <w:b/>
          <w:lang w:eastAsia="ja-JP"/>
        </w:rPr>
        <w:t>carriers where the UE does not support DC/CA are also subject to idle/inactive measurement.</w:t>
      </w:r>
    </w:p>
    <w:p w14:paraId="1995B0CD" w14:textId="7705D888" w:rsidR="00A06A62" w:rsidRPr="003F41E1" w:rsidRDefault="003F41E1" w:rsidP="003F41E1">
      <w:pPr>
        <w:pStyle w:val="B1"/>
        <w:ind w:left="0" w:firstLine="0"/>
        <w:rPr>
          <w:b/>
        </w:rPr>
      </w:pPr>
      <w:r>
        <w:rPr>
          <w:rFonts w:hint="eastAsia"/>
        </w:rPr>
        <w:t>S</w:t>
      </w:r>
      <w:r>
        <w:t xml:space="preserve">econd, </w:t>
      </w:r>
      <w:r w:rsidR="00E1365D">
        <w:t>the network</w:t>
      </w:r>
      <w:r>
        <w:t xml:space="preserve"> will be able to identify UE which supports Proposal 1 by UE capability.</w:t>
      </w:r>
      <w:r w:rsidRPr="003F41E1">
        <w:rPr>
          <w:b/>
        </w:rPr>
        <w:t xml:space="preserve"> </w:t>
      </w:r>
      <w:r>
        <w:rPr>
          <w:rFonts w:hint="eastAsia"/>
        </w:rPr>
        <w:t>I</w:t>
      </w:r>
      <w:r>
        <w:t>t can be determined by adding a parameter to the UE capability to support Proposal</w:t>
      </w:r>
      <w:r w:rsidR="00320EA7">
        <w:t xml:space="preserve"> </w:t>
      </w:r>
      <w:r>
        <w:t>1.</w:t>
      </w:r>
    </w:p>
    <w:p w14:paraId="62B0406E" w14:textId="21A5604E" w:rsidR="00A06A62" w:rsidRDefault="008C35E9" w:rsidP="003F41E1">
      <w:pPr>
        <w:pStyle w:val="B1"/>
        <w:ind w:left="0" w:firstLine="0"/>
      </w:pPr>
      <w:r w:rsidRPr="00280561">
        <w:rPr>
          <w:b/>
        </w:rPr>
        <w:t>Proposal 2:</w:t>
      </w:r>
      <w:r>
        <w:rPr>
          <w:b/>
        </w:rPr>
        <w:t xml:space="preserve"> </w:t>
      </w:r>
      <w:r w:rsidR="00E1365D">
        <w:rPr>
          <w:b/>
        </w:rPr>
        <w:t>The network</w:t>
      </w:r>
      <w:r>
        <w:rPr>
          <w:b/>
        </w:rPr>
        <w:t xml:space="preserve"> will be able to identify UE which </w:t>
      </w:r>
      <w:r w:rsidR="00A06A62">
        <w:rPr>
          <w:b/>
        </w:rPr>
        <w:t>support</w:t>
      </w:r>
      <w:r w:rsidR="00923D6E">
        <w:rPr>
          <w:b/>
        </w:rPr>
        <w:t>s</w:t>
      </w:r>
      <w:r w:rsidR="00A06A62">
        <w:rPr>
          <w:b/>
        </w:rPr>
        <w:t xml:space="preserve"> Proposal</w:t>
      </w:r>
      <w:r w:rsidR="003F41E1">
        <w:rPr>
          <w:b/>
        </w:rPr>
        <w:t xml:space="preserve"> </w:t>
      </w:r>
      <w:r w:rsidR="00A06A62">
        <w:rPr>
          <w:b/>
        </w:rPr>
        <w:t>1</w:t>
      </w:r>
      <w:r w:rsidR="003F41E1">
        <w:rPr>
          <w:b/>
        </w:rPr>
        <w:t xml:space="preserve"> by UE capability</w:t>
      </w:r>
      <w:r w:rsidR="00A06A62">
        <w:rPr>
          <w:b/>
        </w:rPr>
        <w:t>.</w:t>
      </w:r>
    </w:p>
    <w:p w14:paraId="3EED5C1A" w14:textId="0F99A948" w:rsidR="00A01228" w:rsidRPr="00A06A62" w:rsidRDefault="00A06A62" w:rsidP="00365E43">
      <w:pPr>
        <w:rPr>
          <w:lang w:eastAsia="ja-JP"/>
        </w:rPr>
      </w:pPr>
      <w:r>
        <w:rPr>
          <w:lang w:eastAsia="ja-JP"/>
        </w:rPr>
        <w:t>The above proposal will enable Load Distribution to be performed earlier</w:t>
      </w:r>
      <w:r w:rsidR="00F4701A">
        <w:rPr>
          <w:lang w:eastAsia="ja-JP"/>
        </w:rPr>
        <w:t>.</w:t>
      </w:r>
    </w:p>
    <w:p w14:paraId="32F318A1" w14:textId="77777777" w:rsidR="00CB4413" w:rsidRDefault="003C11B8" w:rsidP="008C35E9">
      <w:pPr>
        <w:pStyle w:val="2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Conclusion</w:t>
      </w:r>
    </w:p>
    <w:p w14:paraId="5BE68EDA" w14:textId="77777777" w:rsidR="00CB3B0D" w:rsidRDefault="00CB3B0D" w:rsidP="00CB3B0D">
      <w:pPr>
        <w:pStyle w:val="af3"/>
        <w:rPr>
          <w:rFonts w:cs="Arial"/>
          <w:b/>
          <w:bCs/>
          <w:lang w:val="en-US"/>
        </w:rPr>
      </w:pPr>
      <w:r w:rsidRPr="003100C3">
        <w:rPr>
          <w:rFonts w:cs="Arial"/>
          <w:lang w:val="en-US" w:eastAsia="ja-JP"/>
        </w:rPr>
        <w:t xml:space="preserve">Based on the discussion in the </w:t>
      </w:r>
      <w:r w:rsidRPr="003100C3">
        <w:rPr>
          <w:rFonts w:cs="Arial"/>
          <w:lang w:val="en-US"/>
        </w:rPr>
        <w:t>previous sections</w:t>
      </w:r>
      <w:r w:rsidRPr="003100C3">
        <w:rPr>
          <w:rFonts w:cs="Arial"/>
          <w:lang w:val="en-US" w:eastAsia="ja-JP"/>
        </w:rPr>
        <w:t>,</w:t>
      </w:r>
      <w:r w:rsidRPr="003100C3">
        <w:rPr>
          <w:rFonts w:cs="Arial"/>
          <w:lang w:val="en-US"/>
        </w:rPr>
        <w:t xml:space="preserve"> we made the following </w:t>
      </w:r>
      <w:r w:rsidRPr="003100C3">
        <w:rPr>
          <w:rFonts w:cs="Arial"/>
          <w:lang w:val="en-US" w:eastAsia="ja-JP"/>
        </w:rPr>
        <w:t>proposal</w:t>
      </w:r>
      <w:r w:rsidRPr="003100C3">
        <w:rPr>
          <w:rFonts w:cs="Arial"/>
          <w:lang w:val="en-US"/>
        </w:rPr>
        <w:t>s:</w:t>
      </w:r>
      <w:r w:rsidRPr="003100C3">
        <w:rPr>
          <w:rFonts w:cs="Arial"/>
          <w:b/>
          <w:bCs/>
          <w:lang w:val="en-US"/>
        </w:rPr>
        <w:t xml:space="preserve"> </w:t>
      </w:r>
    </w:p>
    <w:p w14:paraId="6B65A97B" w14:textId="77777777" w:rsidR="006D6B26" w:rsidRDefault="006D6B26" w:rsidP="006D6B26">
      <w:pPr>
        <w:rPr>
          <w:b/>
          <w:lang w:eastAsia="ja-JP"/>
        </w:rPr>
      </w:pPr>
      <w:r>
        <w:rPr>
          <w:rFonts w:hint="eastAsia"/>
          <w:b/>
          <w:lang w:eastAsia="ja-JP"/>
        </w:rPr>
        <w:t>O</w:t>
      </w:r>
      <w:r>
        <w:rPr>
          <w:b/>
          <w:lang w:eastAsia="ja-JP"/>
        </w:rPr>
        <w:t>bservation 1: In load distribution, by using cell quality information obtained from measurement reports, the network can select a cell with better radio quality as the distribution destination, and throughput of the UE will be improved.</w:t>
      </w:r>
    </w:p>
    <w:p w14:paraId="4B6D52C1" w14:textId="049B3BCD" w:rsidR="006D6B26" w:rsidRPr="00F37776" w:rsidRDefault="006D6B26" w:rsidP="006D6B26">
      <w:pPr>
        <w:rPr>
          <w:b/>
          <w:lang w:eastAsia="ja-JP"/>
        </w:rPr>
      </w:pPr>
      <w:r w:rsidRPr="00F37776">
        <w:rPr>
          <w:b/>
          <w:lang w:eastAsia="ja-JP"/>
        </w:rPr>
        <w:t>Observation 2: By using idle/inactive measurements for load distribution, we can minimize the drawbacks of the measurements mentioned above, i.e., execution delay and need for measurement gaps.</w:t>
      </w:r>
    </w:p>
    <w:p w14:paraId="7B93D0FE" w14:textId="61A25BB4" w:rsidR="006D6B26" w:rsidRDefault="006D6B26" w:rsidP="006D6B26">
      <w:pPr>
        <w:rPr>
          <w:b/>
          <w:lang w:val="en-US" w:eastAsia="ja-JP"/>
        </w:rPr>
      </w:pPr>
      <w:r>
        <w:rPr>
          <w:rFonts w:hint="eastAsia"/>
          <w:b/>
          <w:lang w:eastAsia="ja-JP"/>
        </w:rPr>
        <w:t>O</w:t>
      </w:r>
      <w:r>
        <w:rPr>
          <w:b/>
          <w:lang w:eastAsia="ja-JP"/>
        </w:rPr>
        <w:t>bservation 3: Sinc</w:t>
      </w:r>
      <w:r w:rsidR="00320EA7">
        <w:rPr>
          <w:b/>
          <w:lang w:eastAsia="ja-JP"/>
        </w:rPr>
        <w:t>e the main use case of current idle/i</w:t>
      </w:r>
      <w:r>
        <w:rPr>
          <w:b/>
          <w:lang w:eastAsia="ja-JP"/>
        </w:rPr>
        <w:t xml:space="preserve">nactive measurement is DC/CA, the radio quality of some carriers are not reported, which hinders the application of idle/inactive measurement to load distribution. For example, in the case of a UE don’t support DC/CA, or the network </w:t>
      </w:r>
      <w:r w:rsidRPr="00A06A62">
        <w:rPr>
          <w:b/>
          <w:lang w:val="en-US" w:eastAsia="ja-JP"/>
        </w:rPr>
        <w:t xml:space="preserve">wants to use a </w:t>
      </w:r>
      <w:r>
        <w:rPr>
          <w:b/>
          <w:lang w:val="en-US" w:eastAsia="ja-JP"/>
        </w:rPr>
        <w:t xml:space="preserve">cell </w:t>
      </w:r>
      <w:r w:rsidRPr="00A06A62">
        <w:rPr>
          <w:b/>
          <w:lang w:val="en-US" w:eastAsia="ja-JP"/>
        </w:rPr>
        <w:t>that don’t support DC/CA as a candidate for Band Distribution.</w:t>
      </w:r>
    </w:p>
    <w:p w14:paraId="1E5B0D1F" w14:textId="77777777" w:rsidR="006D6B26" w:rsidRPr="00303DFD" w:rsidRDefault="006D6B26" w:rsidP="006D6B26">
      <w:pPr>
        <w:rPr>
          <w:b/>
        </w:rPr>
      </w:pPr>
      <w:r w:rsidRPr="008C35E9">
        <w:rPr>
          <w:b/>
          <w:lang w:val="en-US" w:eastAsia="ja-JP"/>
        </w:rPr>
        <w:t>Proposal</w:t>
      </w:r>
      <w:r>
        <w:rPr>
          <w:b/>
          <w:lang w:val="en-US" w:eastAsia="ja-JP"/>
        </w:rPr>
        <w:t xml:space="preserve"> 1:</w:t>
      </w:r>
      <w:r>
        <w:rPr>
          <w:lang w:val="en-US" w:eastAsia="ja-JP"/>
        </w:rPr>
        <w:t xml:space="preserve"> </w:t>
      </w:r>
      <w:r w:rsidRPr="00C524AC">
        <w:rPr>
          <w:b/>
          <w:lang w:eastAsia="ja-JP"/>
        </w:rPr>
        <w:t xml:space="preserve">Add a new signalling which indicates that </w:t>
      </w:r>
      <w:r>
        <w:rPr>
          <w:b/>
          <w:lang w:eastAsia="ja-JP"/>
        </w:rPr>
        <w:t xml:space="preserve">the </w:t>
      </w:r>
      <w:r w:rsidRPr="00C524AC">
        <w:rPr>
          <w:b/>
          <w:lang w:eastAsia="ja-JP"/>
        </w:rPr>
        <w:t>carriers where the UE does not support DC/CA are also subject to idle/inactive measurement.</w:t>
      </w:r>
    </w:p>
    <w:p w14:paraId="2604D512" w14:textId="77777777" w:rsidR="006D6B26" w:rsidRDefault="006D6B26" w:rsidP="006D6B26">
      <w:pPr>
        <w:pStyle w:val="B1"/>
        <w:ind w:left="0" w:firstLine="0"/>
      </w:pPr>
      <w:r w:rsidRPr="00280561">
        <w:rPr>
          <w:b/>
        </w:rPr>
        <w:t>Proposal 2:</w:t>
      </w:r>
      <w:r>
        <w:rPr>
          <w:b/>
        </w:rPr>
        <w:t xml:space="preserve"> The network will be able to identify UE which supports Proposal 1 by UE capability.</w:t>
      </w:r>
    </w:p>
    <w:p w14:paraId="6B11D516" w14:textId="573CD485" w:rsidR="001E0F9D" w:rsidRPr="006D6B26" w:rsidRDefault="001E0F9D" w:rsidP="001E0F9D">
      <w:pPr>
        <w:pStyle w:val="B1"/>
        <w:ind w:left="0" w:firstLine="0"/>
      </w:pPr>
    </w:p>
    <w:p w14:paraId="1E4B083A" w14:textId="23F174EF" w:rsidR="00EB09E3" w:rsidRPr="00EB09E3" w:rsidRDefault="00CB4413" w:rsidP="00EB09E3">
      <w:pPr>
        <w:pStyle w:val="2"/>
        <w:numPr>
          <w:ilvl w:val="0"/>
          <w:numId w:val="3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4A60F27F" w14:textId="66C5A4B6" w:rsidR="005E477B" w:rsidRDefault="005F72D6" w:rsidP="005F72D6">
      <w:pPr>
        <w:pStyle w:val="ab"/>
        <w:numPr>
          <w:ilvl w:val="0"/>
          <w:numId w:val="4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S 38.331</w:t>
      </w:r>
    </w:p>
    <w:p w14:paraId="0C2AAC1F" w14:textId="77777777" w:rsidR="00EB09E3" w:rsidRPr="00280561" w:rsidRDefault="00EB09E3" w:rsidP="00EB09E3">
      <w:pPr>
        <w:rPr>
          <w:lang w:eastAsia="ja-JP"/>
        </w:rPr>
      </w:pPr>
    </w:p>
    <w:p w14:paraId="474CBE25" w14:textId="42D0E006" w:rsidR="00EB09E3" w:rsidRPr="00B94A06" w:rsidRDefault="00EB09E3" w:rsidP="00EB09E3">
      <w:pPr>
        <w:pStyle w:val="2"/>
        <w:numPr>
          <w:ilvl w:val="0"/>
          <w:numId w:val="3"/>
        </w:numPr>
        <w:rPr>
          <w:rFonts w:cs="Arial"/>
          <w:lang w:eastAsia="ja-JP"/>
        </w:rPr>
      </w:pPr>
      <w:r>
        <w:rPr>
          <w:rFonts w:cs="Arial"/>
          <w:lang w:eastAsia="ja-JP"/>
        </w:rPr>
        <w:t>Appendix</w:t>
      </w:r>
    </w:p>
    <w:p w14:paraId="7A01DF0F" w14:textId="29429E9A" w:rsidR="00923D6E" w:rsidRDefault="00A25B6D" w:rsidP="00641B40">
      <w:pPr>
        <w:rPr>
          <w:color w:val="000000" w:themeColor="text1"/>
        </w:rPr>
      </w:pPr>
      <w:r>
        <w:rPr>
          <w:color w:val="000000" w:themeColor="text1"/>
        </w:rPr>
        <w:pict w14:anchorId="662BA454">
          <v:rect id="_x0000_i1025" style="width:0;height:1.5pt" o:hralign="center" o:hrstd="t" o:hr="t" fillcolor="#a0a0a0" stroked="f">
            <v:textbox inset="5.85pt,.7pt,5.85pt,.7pt"/>
          </v:rect>
        </w:pict>
      </w:r>
    </w:p>
    <w:p w14:paraId="2CE08B7F" w14:textId="3230ED18" w:rsidR="00641B40" w:rsidRDefault="00641B40" w:rsidP="00641B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0776983"/>
      <w:bookmarkStart w:id="2" w:name="_Toc76423269"/>
      <w:r w:rsidRPr="00641B40">
        <w:rPr>
          <w:rFonts w:ascii="Arial" w:eastAsia="Times New Roman" w:hAnsi="Arial"/>
          <w:sz w:val="28"/>
          <w:lang w:eastAsia="ja-JP"/>
        </w:rPr>
        <w:t>3GPP TS 38.331 V16.5.0 (2021-06)</w:t>
      </w:r>
    </w:p>
    <w:p w14:paraId="2DF78D43" w14:textId="223A2D17" w:rsidR="00641B40" w:rsidRPr="00641B40" w:rsidRDefault="00641B40" w:rsidP="00641B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641B40">
        <w:rPr>
          <w:rFonts w:ascii="Arial" w:eastAsia="Times New Roman" w:hAnsi="Arial"/>
          <w:sz w:val="28"/>
          <w:lang w:eastAsia="ja-JP"/>
        </w:rPr>
        <w:t>5.7.8</w:t>
      </w:r>
      <w:r w:rsidRPr="00641B40">
        <w:rPr>
          <w:rFonts w:ascii="Arial" w:eastAsia="Times New Roman" w:hAnsi="Arial"/>
          <w:sz w:val="28"/>
          <w:lang w:eastAsia="ja-JP"/>
        </w:rPr>
        <w:tab/>
        <w:t>Idle/inactive Measurements</w:t>
      </w:r>
      <w:bookmarkEnd w:id="1"/>
      <w:bookmarkEnd w:id="2"/>
    </w:p>
    <w:p w14:paraId="5EB7A02D" w14:textId="78589F4D" w:rsidR="00641B40" w:rsidRDefault="00641B40" w:rsidP="00EB09E3">
      <w:pPr>
        <w:rPr>
          <w:color w:val="000000" w:themeColor="text1"/>
        </w:rPr>
      </w:pPr>
      <w:r>
        <w:rPr>
          <w:color w:val="000000" w:themeColor="text1"/>
          <w:lang w:eastAsia="ja-JP"/>
        </w:rPr>
        <w:t>-- (</w:t>
      </w:r>
      <w:proofErr w:type="gramStart"/>
      <w:r>
        <w:rPr>
          <w:color w:val="000000" w:themeColor="text1"/>
          <w:lang w:eastAsia="ja-JP"/>
        </w:rPr>
        <w:t>skip</w:t>
      </w:r>
      <w:proofErr w:type="gramEnd"/>
      <w:r>
        <w:rPr>
          <w:color w:val="000000" w:themeColor="text1"/>
          <w:lang w:eastAsia="ja-JP"/>
        </w:rPr>
        <w:t xml:space="preserve"> unrelated part) –</w:t>
      </w:r>
    </w:p>
    <w:p w14:paraId="20593087" w14:textId="616E4771" w:rsidR="00EB09E3" w:rsidRPr="005F72D6" w:rsidRDefault="00EB09E3" w:rsidP="00EB09E3">
      <w:pPr>
        <w:rPr>
          <w:color w:val="000000" w:themeColor="text1"/>
        </w:rPr>
      </w:pPr>
      <w:r w:rsidRPr="005F72D6">
        <w:rPr>
          <w:color w:val="000000" w:themeColor="text1"/>
        </w:rPr>
        <w:t>While in RRC_IDLE or RRC_INACTIVE, and T331 is running, the UE shall:</w:t>
      </w:r>
    </w:p>
    <w:p w14:paraId="18A7802A" w14:textId="77777777" w:rsidR="00EB09E3" w:rsidRPr="005F72D6" w:rsidRDefault="00EB09E3" w:rsidP="00EB09E3">
      <w:pPr>
        <w:pStyle w:val="B1"/>
        <w:rPr>
          <w:color w:val="000000" w:themeColor="text1"/>
        </w:rPr>
      </w:pPr>
      <w:r w:rsidRPr="005F72D6">
        <w:rPr>
          <w:color w:val="000000" w:themeColor="text1"/>
        </w:rPr>
        <w:t>1&gt;</w:t>
      </w:r>
      <w:r w:rsidRPr="005F72D6">
        <w:rPr>
          <w:color w:val="000000" w:themeColor="text1"/>
        </w:rPr>
        <w:tab/>
        <w:t>perform the measurements in accordance with the following:</w:t>
      </w:r>
    </w:p>
    <w:p w14:paraId="6CEC8BEB" w14:textId="77777777" w:rsidR="00EB09E3" w:rsidRPr="005F72D6" w:rsidRDefault="00EB09E3" w:rsidP="00EB09E3">
      <w:pPr>
        <w:pStyle w:val="B2"/>
        <w:rPr>
          <w:color w:val="000000" w:themeColor="text1"/>
        </w:rPr>
      </w:pPr>
      <w:r w:rsidRPr="005F72D6">
        <w:rPr>
          <w:color w:val="000000" w:themeColor="text1"/>
        </w:rPr>
        <w:lastRenderedPageBreak/>
        <w:t>2&gt;</w:t>
      </w:r>
      <w:r w:rsidRPr="005F72D6">
        <w:rPr>
          <w:color w:val="000000" w:themeColor="text1"/>
        </w:rPr>
        <w:tab/>
        <w:t xml:space="preserve">if the </w:t>
      </w:r>
      <w:proofErr w:type="spellStart"/>
      <w:r w:rsidRPr="005F72D6">
        <w:rPr>
          <w:i/>
          <w:color w:val="000000" w:themeColor="text1"/>
        </w:rPr>
        <w:t>VarMeasIdleConfig</w:t>
      </w:r>
      <w:proofErr w:type="spellEnd"/>
      <w:r w:rsidRPr="005F72D6">
        <w:rPr>
          <w:color w:val="000000" w:themeColor="text1"/>
        </w:rPr>
        <w:t xml:space="preserve"> includes the </w:t>
      </w:r>
      <w:proofErr w:type="spellStart"/>
      <w:r w:rsidRPr="005F72D6">
        <w:rPr>
          <w:i/>
          <w:color w:val="000000" w:themeColor="text1"/>
        </w:rPr>
        <w:t>measIdleCarrierListEUTRA</w:t>
      </w:r>
      <w:proofErr w:type="spellEnd"/>
      <w:r w:rsidRPr="005F72D6">
        <w:rPr>
          <w:i/>
          <w:color w:val="000000" w:themeColor="text1"/>
        </w:rPr>
        <w:t xml:space="preserve"> </w:t>
      </w:r>
      <w:r w:rsidRPr="005F72D6">
        <w:rPr>
          <w:iCs/>
          <w:color w:val="000000" w:themeColor="text1"/>
        </w:rPr>
        <w:t xml:space="preserve">and the </w:t>
      </w:r>
      <w:r w:rsidRPr="005F72D6">
        <w:rPr>
          <w:i/>
          <w:color w:val="000000" w:themeColor="text1"/>
        </w:rPr>
        <w:t xml:space="preserve">SIB1 </w:t>
      </w:r>
      <w:r w:rsidRPr="005F72D6">
        <w:rPr>
          <w:iCs/>
          <w:color w:val="000000" w:themeColor="text1"/>
        </w:rPr>
        <w:t xml:space="preserve">contains </w:t>
      </w:r>
      <w:proofErr w:type="spellStart"/>
      <w:r w:rsidRPr="005F72D6">
        <w:rPr>
          <w:i/>
          <w:iCs/>
          <w:color w:val="000000" w:themeColor="text1"/>
        </w:rPr>
        <w:t>idleModeMeasurementsEUTRA</w:t>
      </w:r>
      <w:proofErr w:type="spellEnd"/>
      <w:r w:rsidRPr="005F72D6">
        <w:rPr>
          <w:color w:val="000000" w:themeColor="text1"/>
        </w:rPr>
        <w:t>:</w:t>
      </w:r>
    </w:p>
    <w:p w14:paraId="49C0AD35" w14:textId="77777777" w:rsidR="00EB09E3" w:rsidRPr="005F72D6" w:rsidRDefault="00EB09E3" w:rsidP="00EB09E3">
      <w:pPr>
        <w:pStyle w:val="B3"/>
        <w:rPr>
          <w:color w:val="000000" w:themeColor="text1"/>
        </w:rPr>
      </w:pPr>
      <w:r w:rsidRPr="005F72D6">
        <w:rPr>
          <w:color w:val="000000" w:themeColor="text1"/>
        </w:rPr>
        <w:t>3&gt;</w:t>
      </w:r>
      <w:r w:rsidRPr="005F72D6">
        <w:rPr>
          <w:color w:val="000000" w:themeColor="text1"/>
        </w:rPr>
        <w:tab/>
        <w:t xml:space="preserve">for each entry in </w:t>
      </w:r>
      <w:proofErr w:type="spellStart"/>
      <w:r w:rsidRPr="005F72D6">
        <w:rPr>
          <w:i/>
          <w:color w:val="000000" w:themeColor="text1"/>
        </w:rPr>
        <w:t>measIdleCarrierListEUTRA</w:t>
      </w:r>
      <w:proofErr w:type="spellEnd"/>
      <w:r w:rsidRPr="005F72D6">
        <w:rPr>
          <w:color w:val="000000" w:themeColor="text1"/>
        </w:rPr>
        <w:t xml:space="preserve"> within </w:t>
      </w:r>
      <w:proofErr w:type="spellStart"/>
      <w:r w:rsidRPr="005F72D6">
        <w:rPr>
          <w:i/>
          <w:color w:val="000000" w:themeColor="text1"/>
        </w:rPr>
        <w:t>VarMeasIdleConfig</w:t>
      </w:r>
      <w:proofErr w:type="spellEnd"/>
      <w:r w:rsidRPr="005F72D6">
        <w:rPr>
          <w:color w:val="000000" w:themeColor="text1"/>
        </w:rPr>
        <w:t>:</w:t>
      </w:r>
    </w:p>
    <w:p w14:paraId="7FC1A763" w14:textId="77777777" w:rsidR="00EB09E3" w:rsidRPr="005F72D6" w:rsidRDefault="00EB09E3" w:rsidP="00EB09E3">
      <w:pPr>
        <w:pStyle w:val="B4"/>
        <w:rPr>
          <w:color w:val="000000" w:themeColor="text1"/>
        </w:rPr>
      </w:pPr>
      <w:r w:rsidRPr="005F72D6">
        <w:rPr>
          <w:color w:val="000000" w:themeColor="text1"/>
        </w:rPr>
        <w:t>4&gt;</w:t>
      </w:r>
      <w:r w:rsidRPr="005F72D6">
        <w:rPr>
          <w:color w:val="000000" w:themeColor="text1"/>
        </w:rPr>
        <w:tab/>
      </w:r>
      <w:r w:rsidRPr="00B94A06">
        <w:rPr>
          <w:color w:val="000000" w:themeColor="text1"/>
          <w:highlight w:val="yellow"/>
        </w:rPr>
        <w:t xml:space="preserve">if UE supports NE-DC between the serving carrier and the carrier frequency indicated by </w:t>
      </w:r>
      <w:proofErr w:type="spellStart"/>
      <w:r w:rsidRPr="00B94A06">
        <w:rPr>
          <w:i/>
          <w:color w:val="000000" w:themeColor="text1"/>
          <w:highlight w:val="yellow"/>
        </w:rPr>
        <w:t>carrierFreqEUTRA</w:t>
      </w:r>
      <w:proofErr w:type="spellEnd"/>
      <w:r w:rsidRPr="00B94A06">
        <w:rPr>
          <w:color w:val="000000" w:themeColor="text1"/>
          <w:highlight w:val="yellow"/>
        </w:rPr>
        <w:t xml:space="preserve"> within the corresponding entry</w:t>
      </w:r>
      <w:r w:rsidRPr="005F72D6">
        <w:rPr>
          <w:color w:val="000000" w:themeColor="text1"/>
        </w:rPr>
        <w:t>:</w:t>
      </w:r>
    </w:p>
    <w:p w14:paraId="433F78B3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 xml:space="preserve">perform measurements in the carrier frequency and bandwidth indicated by </w:t>
      </w:r>
      <w:proofErr w:type="spellStart"/>
      <w:r w:rsidRPr="005F72D6">
        <w:rPr>
          <w:i/>
          <w:color w:val="000000" w:themeColor="text1"/>
        </w:rPr>
        <w:t>carrierFreqEUTRA</w:t>
      </w:r>
      <w:proofErr w:type="spellEnd"/>
      <w:r w:rsidRPr="005F72D6">
        <w:rPr>
          <w:color w:val="000000" w:themeColor="text1"/>
        </w:rPr>
        <w:t xml:space="preserve"> and </w:t>
      </w:r>
      <w:proofErr w:type="spellStart"/>
      <w:r w:rsidRPr="005F72D6">
        <w:rPr>
          <w:i/>
          <w:color w:val="000000" w:themeColor="text1"/>
        </w:rPr>
        <w:t>allowedMeasBandwidth</w:t>
      </w:r>
      <w:proofErr w:type="spellEnd"/>
      <w:r w:rsidRPr="005F72D6">
        <w:rPr>
          <w:color w:val="000000" w:themeColor="text1"/>
        </w:rPr>
        <w:t xml:space="preserve"> within the corresponding entry;</w:t>
      </w:r>
    </w:p>
    <w:p w14:paraId="75064F0E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 xml:space="preserve">if the </w:t>
      </w:r>
      <w:proofErr w:type="spellStart"/>
      <w:r w:rsidRPr="005F72D6">
        <w:rPr>
          <w:i/>
          <w:color w:val="000000" w:themeColor="text1"/>
        </w:rPr>
        <w:t>reportQuantitiesEUTRA</w:t>
      </w:r>
      <w:proofErr w:type="spellEnd"/>
      <w:r w:rsidRPr="005F72D6">
        <w:rPr>
          <w:color w:val="000000" w:themeColor="text1"/>
        </w:rPr>
        <w:t xml:space="preserve"> is set to </w:t>
      </w:r>
      <w:proofErr w:type="spellStart"/>
      <w:r w:rsidRPr="005F72D6">
        <w:rPr>
          <w:i/>
          <w:color w:val="000000" w:themeColor="text1"/>
        </w:rPr>
        <w:t>rsrq</w:t>
      </w:r>
      <w:proofErr w:type="spellEnd"/>
      <w:r w:rsidRPr="005F72D6">
        <w:rPr>
          <w:color w:val="000000" w:themeColor="text1"/>
        </w:rPr>
        <w:t>:</w:t>
      </w:r>
    </w:p>
    <w:p w14:paraId="0E13B8BC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>consider RSRQ as the sorting quantity;</w:t>
      </w:r>
    </w:p>
    <w:p w14:paraId="25A2C676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>else:</w:t>
      </w:r>
    </w:p>
    <w:p w14:paraId="70A45F40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>consider RSRP as the sorting quantity;</w:t>
      </w:r>
    </w:p>
    <w:p w14:paraId="6CE717E7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 xml:space="preserve">if the </w:t>
      </w:r>
      <w:proofErr w:type="spellStart"/>
      <w:r w:rsidRPr="005F72D6">
        <w:rPr>
          <w:i/>
          <w:color w:val="000000" w:themeColor="text1"/>
        </w:rPr>
        <w:t>measCellListEUTRA</w:t>
      </w:r>
      <w:proofErr w:type="spellEnd"/>
      <w:r w:rsidRPr="005F72D6">
        <w:rPr>
          <w:color w:val="000000" w:themeColor="text1"/>
        </w:rPr>
        <w:t xml:space="preserve"> is included:</w:t>
      </w:r>
    </w:p>
    <w:p w14:paraId="788CEA48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 xml:space="preserve">consider cells identified by each entry within the </w:t>
      </w:r>
      <w:proofErr w:type="spellStart"/>
      <w:r w:rsidRPr="005F72D6">
        <w:rPr>
          <w:i/>
          <w:color w:val="000000" w:themeColor="text1"/>
          <w:lang w:val="en-GB"/>
        </w:rPr>
        <w:t>measCellListEUTRA</w:t>
      </w:r>
      <w:proofErr w:type="spellEnd"/>
      <w:r w:rsidRPr="005F72D6">
        <w:rPr>
          <w:color w:val="000000" w:themeColor="text1"/>
          <w:lang w:val="en-GB"/>
        </w:rPr>
        <w:t xml:space="preserve"> to be applicable for idle/inactive mode measurement reporting;</w:t>
      </w:r>
    </w:p>
    <w:p w14:paraId="5104C59D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>else:</w:t>
      </w:r>
    </w:p>
    <w:p w14:paraId="3F1E02CF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 xml:space="preserve">consider up to </w:t>
      </w:r>
      <w:proofErr w:type="spellStart"/>
      <w:r w:rsidRPr="005F72D6">
        <w:rPr>
          <w:i/>
          <w:color w:val="000000" w:themeColor="text1"/>
          <w:lang w:val="en-GB"/>
        </w:rPr>
        <w:t>maxCellMeasIdle</w:t>
      </w:r>
      <w:proofErr w:type="spellEnd"/>
      <w:r w:rsidRPr="005F72D6">
        <w:rPr>
          <w:color w:val="000000" w:themeColor="text1"/>
          <w:lang w:val="en-GB"/>
        </w:rPr>
        <w:t xml:space="preserve"> strongest identified cells, according to the sorting quantity, to be applicable for idle/inactive measurement reporting;</w:t>
      </w:r>
    </w:p>
    <w:p w14:paraId="7D5E92D1" w14:textId="77777777" w:rsidR="00EB09E3" w:rsidRPr="005F72D6" w:rsidRDefault="00EB09E3" w:rsidP="00EB09E3">
      <w:pPr>
        <w:pStyle w:val="B5"/>
        <w:rPr>
          <w:i/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 xml:space="preserve">for all cells applicable for idle/inactive measurement reporting, derive measurement results for the measurement quantities indicated by </w:t>
      </w:r>
      <w:proofErr w:type="spellStart"/>
      <w:r w:rsidRPr="005F72D6">
        <w:rPr>
          <w:i/>
          <w:color w:val="000000" w:themeColor="text1"/>
        </w:rPr>
        <w:t>reportQuantitiesEUTRA</w:t>
      </w:r>
      <w:proofErr w:type="spellEnd"/>
      <w:r w:rsidRPr="005F72D6">
        <w:rPr>
          <w:i/>
          <w:color w:val="000000" w:themeColor="text1"/>
        </w:rPr>
        <w:t>;</w:t>
      </w:r>
    </w:p>
    <w:p w14:paraId="3033510A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 xml:space="preserve">store the derived measurement results as indicated by </w:t>
      </w:r>
      <w:proofErr w:type="spellStart"/>
      <w:r w:rsidRPr="005F72D6">
        <w:rPr>
          <w:i/>
          <w:color w:val="000000" w:themeColor="text1"/>
        </w:rPr>
        <w:t>reportQuantitiesEUTRA</w:t>
      </w:r>
      <w:proofErr w:type="spellEnd"/>
      <w:r w:rsidRPr="005F72D6">
        <w:rPr>
          <w:color w:val="000000" w:themeColor="text1"/>
        </w:rPr>
        <w:t xml:space="preserve"> within the </w:t>
      </w:r>
      <w:proofErr w:type="spellStart"/>
      <w:r w:rsidRPr="005F72D6">
        <w:rPr>
          <w:i/>
          <w:color w:val="000000" w:themeColor="text1"/>
        </w:rPr>
        <w:t>measReportIdleEUTRA</w:t>
      </w:r>
      <w:proofErr w:type="spellEnd"/>
      <w:r w:rsidRPr="005F72D6">
        <w:rPr>
          <w:color w:val="000000" w:themeColor="text1"/>
        </w:rPr>
        <w:t xml:space="preserve"> in </w:t>
      </w:r>
      <w:proofErr w:type="spellStart"/>
      <w:r w:rsidRPr="005F72D6">
        <w:rPr>
          <w:i/>
          <w:color w:val="000000" w:themeColor="text1"/>
        </w:rPr>
        <w:t>VarMeasIdleReport</w:t>
      </w:r>
      <w:proofErr w:type="spellEnd"/>
      <w:r w:rsidRPr="005F72D6">
        <w:rPr>
          <w:i/>
          <w:color w:val="000000" w:themeColor="text1"/>
        </w:rPr>
        <w:t xml:space="preserve"> </w:t>
      </w:r>
      <w:r w:rsidRPr="005F72D6">
        <w:rPr>
          <w:iCs/>
          <w:color w:val="000000" w:themeColor="text1"/>
        </w:rPr>
        <w:t xml:space="preserve">in decreasing order of the sorting quantity, </w:t>
      </w:r>
      <w:r w:rsidRPr="005F72D6">
        <w:rPr>
          <w:color w:val="000000" w:themeColor="text1"/>
        </w:rPr>
        <w:t>i.e. the best cell is included first, as follows:</w:t>
      </w:r>
    </w:p>
    <w:p w14:paraId="3BB8C2E0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 xml:space="preserve">if </w:t>
      </w:r>
      <w:proofErr w:type="spellStart"/>
      <w:r w:rsidRPr="005F72D6">
        <w:rPr>
          <w:i/>
          <w:color w:val="000000" w:themeColor="text1"/>
          <w:lang w:val="en-GB"/>
        </w:rPr>
        <w:t>qualityThresholdEUTRA</w:t>
      </w:r>
      <w:proofErr w:type="spellEnd"/>
      <w:r w:rsidRPr="005F72D6">
        <w:rPr>
          <w:color w:val="000000" w:themeColor="text1"/>
          <w:lang w:val="en-GB"/>
        </w:rPr>
        <w:t xml:space="preserve"> is configured:</w:t>
      </w:r>
    </w:p>
    <w:p w14:paraId="3A18E7D6" w14:textId="77777777" w:rsidR="00EB09E3" w:rsidRPr="005F72D6" w:rsidRDefault="00EB09E3" w:rsidP="00EB09E3">
      <w:pPr>
        <w:pStyle w:val="B7"/>
        <w:rPr>
          <w:i/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7&gt;</w:t>
      </w:r>
      <w:r w:rsidRPr="005F72D6">
        <w:rPr>
          <w:color w:val="000000" w:themeColor="text1"/>
          <w:lang w:val="en-GB"/>
        </w:rPr>
        <w:tab/>
        <w:t xml:space="preserve">include the measurement results from the cells applicable for idle/inactive measurement reporting whose RSRP/RSRQ measurement results are above the value(s) provided in </w:t>
      </w:r>
      <w:proofErr w:type="spellStart"/>
      <w:r w:rsidRPr="005F72D6">
        <w:rPr>
          <w:i/>
          <w:color w:val="000000" w:themeColor="text1"/>
          <w:lang w:val="en-GB"/>
        </w:rPr>
        <w:t>qualityThresholdEUTRA</w:t>
      </w:r>
      <w:proofErr w:type="spellEnd"/>
      <w:r w:rsidRPr="005F72D6">
        <w:rPr>
          <w:i/>
          <w:color w:val="000000" w:themeColor="text1"/>
          <w:lang w:val="en-GB"/>
        </w:rPr>
        <w:t>;</w:t>
      </w:r>
    </w:p>
    <w:p w14:paraId="6882DC20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>else:</w:t>
      </w:r>
    </w:p>
    <w:p w14:paraId="7F439A3A" w14:textId="77777777" w:rsidR="00EB09E3" w:rsidRPr="005F72D6" w:rsidRDefault="00EB09E3" w:rsidP="00EB09E3">
      <w:pPr>
        <w:pStyle w:val="B7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7&gt;</w:t>
      </w:r>
      <w:r w:rsidRPr="005F72D6">
        <w:rPr>
          <w:color w:val="000000" w:themeColor="text1"/>
          <w:lang w:val="en-GB"/>
        </w:rPr>
        <w:tab/>
        <w:t>include the measurement results from all cells applicable for idle/inactive measurement reporting;</w:t>
      </w:r>
    </w:p>
    <w:p w14:paraId="5F80A4C5" w14:textId="77777777" w:rsidR="00EB09E3" w:rsidRPr="005F72D6" w:rsidRDefault="00EB09E3" w:rsidP="00EB09E3">
      <w:pPr>
        <w:pStyle w:val="B2"/>
        <w:rPr>
          <w:color w:val="000000" w:themeColor="text1"/>
        </w:rPr>
      </w:pPr>
      <w:r w:rsidRPr="005F72D6">
        <w:rPr>
          <w:color w:val="000000" w:themeColor="text1"/>
        </w:rPr>
        <w:t>2&gt;</w:t>
      </w:r>
      <w:r w:rsidRPr="005F72D6">
        <w:rPr>
          <w:color w:val="000000" w:themeColor="text1"/>
        </w:rPr>
        <w:tab/>
        <w:t xml:space="preserve">if the </w:t>
      </w:r>
      <w:proofErr w:type="spellStart"/>
      <w:r w:rsidRPr="005F72D6">
        <w:rPr>
          <w:i/>
          <w:color w:val="000000" w:themeColor="text1"/>
        </w:rPr>
        <w:t>VarMeasIdleConfig</w:t>
      </w:r>
      <w:proofErr w:type="spellEnd"/>
      <w:r w:rsidRPr="005F72D6">
        <w:rPr>
          <w:color w:val="000000" w:themeColor="text1"/>
        </w:rPr>
        <w:t xml:space="preserve"> includes the </w:t>
      </w:r>
      <w:proofErr w:type="spellStart"/>
      <w:r w:rsidRPr="005F72D6">
        <w:rPr>
          <w:i/>
          <w:color w:val="000000" w:themeColor="text1"/>
        </w:rPr>
        <w:t>measIdleCarrierListNR</w:t>
      </w:r>
      <w:proofErr w:type="spellEnd"/>
      <w:r w:rsidRPr="005F72D6">
        <w:rPr>
          <w:color w:val="000000" w:themeColor="text1"/>
        </w:rPr>
        <w:t xml:space="preserve"> and the SIB1 contains </w:t>
      </w:r>
      <w:proofErr w:type="spellStart"/>
      <w:r w:rsidRPr="005F72D6">
        <w:rPr>
          <w:i/>
          <w:iCs/>
          <w:color w:val="000000" w:themeColor="text1"/>
        </w:rPr>
        <w:t>idleModeMeasurementsNR</w:t>
      </w:r>
      <w:proofErr w:type="spellEnd"/>
      <w:r w:rsidRPr="005F72D6">
        <w:rPr>
          <w:color w:val="000000" w:themeColor="text1"/>
        </w:rPr>
        <w:t>:</w:t>
      </w:r>
    </w:p>
    <w:p w14:paraId="653E0397" w14:textId="77777777" w:rsidR="00EB09E3" w:rsidRPr="005F72D6" w:rsidRDefault="00EB09E3" w:rsidP="00EB09E3">
      <w:pPr>
        <w:pStyle w:val="B3"/>
        <w:rPr>
          <w:color w:val="000000" w:themeColor="text1"/>
        </w:rPr>
      </w:pPr>
      <w:r w:rsidRPr="005F72D6">
        <w:rPr>
          <w:color w:val="000000" w:themeColor="text1"/>
        </w:rPr>
        <w:t>3&gt;</w:t>
      </w:r>
      <w:r w:rsidRPr="005F72D6">
        <w:rPr>
          <w:color w:val="000000" w:themeColor="text1"/>
        </w:rPr>
        <w:tab/>
        <w:t xml:space="preserve">for each entry in </w:t>
      </w:r>
      <w:proofErr w:type="spellStart"/>
      <w:r w:rsidRPr="005F72D6">
        <w:rPr>
          <w:i/>
          <w:color w:val="000000" w:themeColor="text1"/>
        </w:rPr>
        <w:t>measIdleCarrierListNR</w:t>
      </w:r>
      <w:proofErr w:type="spellEnd"/>
      <w:r w:rsidRPr="005F72D6">
        <w:rPr>
          <w:color w:val="000000" w:themeColor="text1"/>
        </w:rPr>
        <w:t xml:space="preserve"> within </w:t>
      </w:r>
      <w:proofErr w:type="spellStart"/>
      <w:r w:rsidRPr="005F72D6">
        <w:rPr>
          <w:i/>
          <w:color w:val="000000" w:themeColor="text1"/>
        </w:rPr>
        <w:t>VarMeasIdleConfig</w:t>
      </w:r>
      <w:proofErr w:type="spellEnd"/>
      <w:r w:rsidRPr="005F72D6">
        <w:rPr>
          <w:i/>
          <w:color w:val="000000" w:themeColor="text1"/>
        </w:rPr>
        <w:t xml:space="preserve"> </w:t>
      </w:r>
      <w:r w:rsidRPr="005F72D6">
        <w:rPr>
          <w:iCs/>
          <w:color w:val="000000" w:themeColor="text1"/>
        </w:rPr>
        <w:t xml:space="preserve">that contains </w:t>
      </w:r>
      <w:proofErr w:type="spellStart"/>
      <w:r w:rsidRPr="005F72D6">
        <w:rPr>
          <w:i/>
          <w:color w:val="000000" w:themeColor="text1"/>
        </w:rPr>
        <w:t>ssb-MeasConfig</w:t>
      </w:r>
      <w:proofErr w:type="spellEnd"/>
      <w:r w:rsidRPr="005F72D6">
        <w:rPr>
          <w:color w:val="000000" w:themeColor="text1"/>
        </w:rPr>
        <w:t>:</w:t>
      </w:r>
    </w:p>
    <w:p w14:paraId="171C9286" w14:textId="77777777" w:rsidR="00EB09E3" w:rsidRPr="005F72D6" w:rsidRDefault="00EB09E3" w:rsidP="00EB09E3">
      <w:pPr>
        <w:pStyle w:val="B4"/>
        <w:rPr>
          <w:color w:val="000000" w:themeColor="text1"/>
        </w:rPr>
      </w:pPr>
      <w:r w:rsidRPr="005F72D6">
        <w:rPr>
          <w:color w:val="000000" w:themeColor="text1"/>
        </w:rPr>
        <w:t>4&gt;</w:t>
      </w:r>
      <w:r w:rsidRPr="005F72D6">
        <w:rPr>
          <w:color w:val="000000" w:themeColor="text1"/>
        </w:rPr>
        <w:tab/>
      </w:r>
      <w:r w:rsidRPr="00B94A06">
        <w:rPr>
          <w:color w:val="000000" w:themeColor="text1"/>
          <w:highlight w:val="yellow"/>
        </w:rPr>
        <w:t xml:space="preserve">if UE supports carrier aggregation or NR-DC between serving carrier and the carrier frequency and subcarrier spacing indicated by </w:t>
      </w:r>
      <w:proofErr w:type="spellStart"/>
      <w:r w:rsidRPr="00B94A06">
        <w:rPr>
          <w:i/>
          <w:color w:val="000000" w:themeColor="text1"/>
          <w:highlight w:val="yellow"/>
        </w:rPr>
        <w:t>carrierFreq</w:t>
      </w:r>
      <w:proofErr w:type="spellEnd"/>
      <w:r w:rsidRPr="00B94A06">
        <w:rPr>
          <w:color w:val="000000" w:themeColor="text1"/>
          <w:highlight w:val="yellow"/>
        </w:rPr>
        <w:t xml:space="preserve"> and </w:t>
      </w:r>
      <w:proofErr w:type="spellStart"/>
      <w:r w:rsidRPr="00B94A06">
        <w:rPr>
          <w:i/>
          <w:color w:val="000000" w:themeColor="text1"/>
          <w:highlight w:val="yellow"/>
        </w:rPr>
        <w:t>ssbSubCarrierSpacing</w:t>
      </w:r>
      <w:proofErr w:type="spellEnd"/>
      <w:r w:rsidRPr="00B94A06">
        <w:rPr>
          <w:color w:val="000000" w:themeColor="text1"/>
          <w:highlight w:val="yellow"/>
        </w:rPr>
        <w:t xml:space="preserve"> within the corresponding entry</w:t>
      </w:r>
      <w:r w:rsidRPr="005F72D6">
        <w:rPr>
          <w:color w:val="000000" w:themeColor="text1"/>
        </w:rPr>
        <w:t>:</w:t>
      </w:r>
    </w:p>
    <w:p w14:paraId="3E2DC9EA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 xml:space="preserve">perform measurements in the carrier frequency and subcarrier spacing indicated by </w:t>
      </w:r>
      <w:proofErr w:type="spellStart"/>
      <w:r w:rsidRPr="005F72D6">
        <w:rPr>
          <w:i/>
          <w:color w:val="000000" w:themeColor="text1"/>
        </w:rPr>
        <w:t>carrierFreq</w:t>
      </w:r>
      <w:proofErr w:type="spellEnd"/>
      <w:r w:rsidRPr="005F72D6">
        <w:rPr>
          <w:color w:val="000000" w:themeColor="text1"/>
        </w:rPr>
        <w:t xml:space="preserve"> and </w:t>
      </w:r>
      <w:proofErr w:type="spellStart"/>
      <w:r w:rsidRPr="005F72D6">
        <w:rPr>
          <w:i/>
          <w:color w:val="000000" w:themeColor="text1"/>
        </w:rPr>
        <w:t>ssbSubCarrierSpacing</w:t>
      </w:r>
      <w:proofErr w:type="spellEnd"/>
      <w:r w:rsidRPr="005F72D6">
        <w:rPr>
          <w:color w:val="000000" w:themeColor="text1"/>
        </w:rPr>
        <w:t xml:space="preserve"> within the corresponding entry;</w:t>
      </w:r>
    </w:p>
    <w:p w14:paraId="7DA7E86D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 xml:space="preserve">if the </w:t>
      </w:r>
      <w:proofErr w:type="spellStart"/>
      <w:r w:rsidRPr="005F72D6">
        <w:rPr>
          <w:i/>
          <w:iCs/>
          <w:color w:val="000000" w:themeColor="text1"/>
        </w:rPr>
        <w:t>reportQuantities</w:t>
      </w:r>
      <w:proofErr w:type="spellEnd"/>
      <w:r w:rsidRPr="005F72D6">
        <w:rPr>
          <w:color w:val="000000" w:themeColor="text1"/>
        </w:rPr>
        <w:t xml:space="preserve"> is set to </w:t>
      </w:r>
      <w:proofErr w:type="spellStart"/>
      <w:r w:rsidRPr="005F72D6">
        <w:rPr>
          <w:color w:val="000000" w:themeColor="text1"/>
        </w:rPr>
        <w:t>rsrq</w:t>
      </w:r>
      <w:proofErr w:type="spellEnd"/>
      <w:r w:rsidRPr="005F72D6">
        <w:rPr>
          <w:color w:val="000000" w:themeColor="text1"/>
        </w:rPr>
        <w:t>:</w:t>
      </w:r>
    </w:p>
    <w:p w14:paraId="2D8C964F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>consider RSRQ as the cell sorting quantity;</w:t>
      </w:r>
    </w:p>
    <w:p w14:paraId="056F2028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>else:</w:t>
      </w:r>
    </w:p>
    <w:p w14:paraId="13314EA3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>consider RSRP as the cell sorting quantity;</w:t>
      </w:r>
    </w:p>
    <w:p w14:paraId="65A28E37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lastRenderedPageBreak/>
        <w:t>5&gt;</w:t>
      </w:r>
      <w:r w:rsidRPr="005F72D6">
        <w:rPr>
          <w:color w:val="000000" w:themeColor="text1"/>
        </w:rPr>
        <w:tab/>
        <w:t xml:space="preserve">if the </w:t>
      </w:r>
      <w:proofErr w:type="spellStart"/>
      <w:r w:rsidRPr="005F72D6">
        <w:rPr>
          <w:i/>
          <w:color w:val="000000" w:themeColor="text1"/>
        </w:rPr>
        <w:t>measCellListNR</w:t>
      </w:r>
      <w:proofErr w:type="spellEnd"/>
      <w:r w:rsidRPr="005F72D6">
        <w:rPr>
          <w:color w:val="000000" w:themeColor="text1"/>
        </w:rPr>
        <w:t xml:space="preserve"> is included:</w:t>
      </w:r>
    </w:p>
    <w:p w14:paraId="2836CD5E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 xml:space="preserve">consider cells identified by each entry within the </w:t>
      </w:r>
      <w:proofErr w:type="spellStart"/>
      <w:r w:rsidRPr="005F72D6">
        <w:rPr>
          <w:i/>
          <w:color w:val="000000" w:themeColor="text1"/>
          <w:lang w:val="en-GB"/>
        </w:rPr>
        <w:t>measCellListNR</w:t>
      </w:r>
      <w:proofErr w:type="spellEnd"/>
      <w:r w:rsidRPr="005F72D6">
        <w:rPr>
          <w:color w:val="000000" w:themeColor="text1"/>
          <w:lang w:val="en-GB"/>
        </w:rPr>
        <w:t xml:space="preserve"> to be applicable for idle/inactive measurement reporting;</w:t>
      </w:r>
    </w:p>
    <w:p w14:paraId="59714C83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>else:</w:t>
      </w:r>
    </w:p>
    <w:p w14:paraId="6A9134B9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 xml:space="preserve">consider up to </w:t>
      </w:r>
      <w:proofErr w:type="spellStart"/>
      <w:r w:rsidRPr="005F72D6">
        <w:rPr>
          <w:i/>
          <w:color w:val="000000" w:themeColor="text1"/>
          <w:lang w:val="en-GB"/>
        </w:rPr>
        <w:t>maxCellMeasIdle</w:t>
      </w:r>
      <w:proofErr w:type="spellEnd"/>
      <w:r w:rsidRPr="005F72D6">
        <w:rPr>
          <w:color w:val="000000" w:themeColor="text1"/>
          <w:lang w:val="en-GB"/>
        </w:rPr>
        <w:t xml:space="preserve"> strongest identified cells, according to the sorting quantity, to be applicable for idle/inactive measurement reporting;</w:t>
      </w:r>
    </w:p>
    <w:p w14:paraId="5FA09611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 xml:space="preserve">for all cells applicable for idle/inactive measurement reporting, derive cell measurement results for the measurement quantities indicated by </w:t>
      </w:r>
      <w:proofErr w:type="spellStart"/>
      <w:r w:rsidRPr="005F72D6">
        <w:rPr>
          <w:i/>
          <w:color w:val="000000" w:themeColor="text1"/>
        </w:rPr>
        <w:t>reportQuantities</w:t>
      </w:r>
      <w:proofErr w:type="spellEnd"/>
      <w:r w:rsidRPr="005F72D6">
        <w:rPr>
          <w:i/>
          <w:color w:val="000000" w:themeColor="text1"/>
        </w:rPr>
        <w:t>;</w:t>
      </w:r>
    </w:p>
    <w:p w14:paraId="2EA9E37E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 xml:space="preserve">store the derived cell measurement results as indicated by </w:t>
      </w:r>
      <w:proofErr w:type="spellStart"/>
      <w:r w:rsidRPr="005F72D6">
        <w:rPr>
          <w:i/>
          <w:color w:val="000000" w:themeColor="text1"/>
        </w:rPr>
        <w:t>reportQuantities</w:t>
      </w:r>
      <w:proofErr w:type="spellEnd"/>
      <w:r w:rsidRPr="005F72D6">
        <w:rPr>
          <w:color w:val="000000" w:themeColor="text1"/>
        </w:rPr>
        <w:t xml:space="preserve"> for cells applicable for idle/inactive measurement reporting within</w:t>
      </w:r>
      <w:r w:rsidRPr="005F72D6">
        <w:rPr>
          <w:i/>
          <w:color w:val="000000" w:themeColor="text1"/>
        </w:rPr>
        <w:t xml:space="preserve"> </w:t>
      </w:r>
      <w:proofErr w:type="spellStart"/>
      <w:r w:rsidRPr="005F72D6">
        <w:rPr>
          <w:i/>
          <w:color w:val="000000" w:themeColor="text1"/>
        </w:rPr>
        <w:t>measResultsPerCarrierListIdleNR</w:t>
      </w:r>
      <w:proofErr w:type="spellEnd"/>
      <w:r w:rsidRPr="005F72D6">
        <w:rPr>
          <w:color w:val="000000" w:themeColor="text1"/>
        </w:rPr>
        <w:t xml:space="preserve"> </w:t>
      </w:r>
      <w:r w:rsidRPr="005F72D6">
        <w:rPr>
          <w:color w:val="000000" w:themeColor="text1"/>
          <w:lang w:eastAsia="zh-CN"/>
        </w:rPr>
        <w:t>in</w:t>
      </w:r>
      <w:r w:rsidRPr="005F72D6">
        <w:rPr>
          <w:color w:val="000000" w:themeColor="text1"/>
        </w:rPr>
        <w:t xml:space="preserve"> the </w:t>
      </w:r>
      <w:proofErr w:type="spellStart"/>
      <w:r w:rsidRPr="005F72D6">
        <w:rPr>
          <w:i/>
          <w:color w:val="000000" w:themeColor="text1"/>
        </w:rPr>
        <w:t>measReportIdleNR</w:t>
      </w:r>
      <w:proofErr w:type="spellEnd"/>
      <w:r w:rsidRPr="005F72D6">
        <w:rPr>
          <w:color w:val="000000" w:themeColor="text1"/>
        </w:rPr>
        <w:t xml:space="preserve"> in </w:t>
      </w:r>
      <w:proofErr w:type="spellStart"/>
      <w:r w:rsidRPr="005F72D6">
        <w:rPr>
          <w:i/>
          <w:color w:val="000000" w:themeColor="text1"/>
        </w:rPr>
        <w:t>VarMeasIdleReport</w:t>
      </w:r>
      <w:proofErr w:type="spellEnd"/>
      <w:r w:rsidRPr="005F72D6">
        <w:rPr>
          <w:i/>
          <w:color w:val="000000" w:themeColor="text1"/>
        </w:rPr>
        <w:t xml:space="preserve"> </w:t>
      </w:r>
      <w:r w:rsidRPr="005F72D6">
        <w:rPr>
          <w:color w:val="000000" w:themeColor="text1"/>
        </w:rPr>
        <w:t>in decreasing order of the cell sorting quantity, i.e. the best cell is included first, as follows:</w:t>
      </w:r>
    </w:p>
    <w:p w14:paraId="46892008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 xml:space="preserve">if </w:t>
      </w:r>
      <w:proofErr w:type="spellStart"/>
      <w:r w:rsidRPr="005F72D6">
        <w:rPr>
          <w:i/>
          <w:color w:val="000000" w:themeColor="text1"/>
          <w:lang w:val="en-GB"/>
        </w:rPr>
        <w:t>qualityThreshold</w:t>
      </w:r>
      <w:proofErr w:type="spellEnd"/>
      <w:r w:rsidRPr="005F72D6">
        <w:rPr>
          <w:color w:val="000000" w:themeColor="text1"/>
          <w:lang w:val="en-GB"/>
        </w:rPr>
        <w:t xml:space="preserve"> is configured:</w:t>
      </w:r>
    </w:p>
    <w:p w14:paraId="159EA2C8" w14:textId="77777777" w:rsidR="00EB09E3" w:rsidRPr="005F72D6" w:rsidRDefault="00EB09E3" w:rsidP="00EB09E3">
      <w:pPr>
        <w:pStyle w:val="B7"/>
        <w:rPr>
          <w:i/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7&gt;</w:t>
      </w:r>
      <w:r w:rsidRPr="005F72D6">
        <w:rPr>
          <w:color w:val="000000" w:themeColor="text1"/>
          <w:lang w:val="en-GB"/>
        </w:rPr>
        <w:tab/>
        <w:t xml:space="preserve">include the measurement results from the cells applicable for idle/inactive measurement reporting whose RSRP/RSRQ measurement results are above the value(s) provided in </w:t>
      </w:r>
      <w:proofErr w:type="spellStart"/>
      <w:r w:rsidRPr="005F72D6">
        <w:rPr>
          <w:i/>
          <w:color w:val="000000" w:themeColor="text1"/>
          <w:lang w:val="en-GB"/>
        </w:rPr>
        <w:t>qualityThreshold</w:t>
      </w:r>
      <w:proofErr w:type="spellEnd"/>
      <w:r w:rsidRPr="005F72D6">
        <w:rPr>
          <w:i/>
          <w:color w:val="000000" w:themeColor="text1"/>
          <w:lang w:val="en-GB"/>
        </w:rPr>
        <w:t>;</w:t>
      </w:r>
    </w:p>
    <w:p w14:paraId="01D79E43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>else:</w:t>
      </w:r>
    </w:p>
    <w:p w14:paraId="47DF2E61" w14:textId="77777777" w:rsidR="00EB09E3" w:rsidRPr="005F72D6" w:rsidRDefault="00EB09E3" w:rsidP="00EB09E3">
      <w:pPr>
        <w:pStyle w:val="B7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7&gt;</w:t>
      </w:r>
      <w:r w:rsidRPr="005F72D6">
        <w:rPr>
          <w:color w:val="000000" w:themeColor="text1"/>
          <w:lang w:val="en-GB"/>
        </w:rPr>
        <w:tab/>
        <w:t>include the measurement results from all cells applicable for idle/inactive measurement reporting;</w:t>
      </w:r>
    </w:p>
    <w:p w14:paraId="5803285D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 xml:space="preserve">if </w:t>
      </w:r>
      <w:proofErr w:type="spellStart"/>
      <w:r w:rsidRPr="005F72D6">
        <w:rPr>
          <w:i/>
          <w:iCs/>
          <w:color w:val="000000" w:themeColor="text1"/>
        </w:rPr>
        <w:t>beamMeasConfigIdle</w:t>
      </w:r>
      <w:proofErr w:type="spellEnd"/>
      <w:r w:rsidRPr="005F72D6">
        <w:rPr>
          <w:color w:val="000000" w:themeColor="text1"/>
        </w:rPr>
        <w:t xml:space="preserve"> is included in the associated entry in </w:t>
      </w:r>
      <w:proofErr w:type="spellStart"/>
      <w:r w:rsidRPr="005F72D6">
        <w:rPr>
          <w:i/>
          <w:color w:val="000000" w:themeColor="text1"/>
        </w:rPr>
        <w:t>measIdleCarrierListNR</w:t>
      </w:r>
      <w:proofErr w:type="spellEnd"/>
      <w:r w:rsidRPr="005F72D6">
        <w:rPr>
          <w:iCs/>
          <w:color w:val="000000" w:themeColor="text1"/>
        </w:rPr>
        <w:t xml:space="preserve"> and if UE supports </w:t>
      </w:r>
      <w:proofErr w:type="spellStart"/>
      <w:r w:rsidRPr="005F72D6">
        <w:rPr>
          <w:i/>
          <w:color w:val="000000" w:themeColor="text1"/>
        </w:rPr>
        <w:t>idleInactiveNR-MeasBeamReport</w:t>
      </w:r>
      <w:proofErr w:type="spellEnd"/>
      <w:r w:rsidRPr="005F72D6">
        <w:rPr>
          <w:iCs/>
          <w:color w:val="000000" w:themeColor="text1"/>
        </w:rPr>
        <w:t xml:space="preserve"> for the FR of the carrier frequency indicated by </w:t>
      </w:r>
      <w:proofErr w:type="spellStart"/>
      <w:r w:rsidRPr="005F72D6">
        <w:rPr>
          <w:i/>
          <w:color w:val="000000" w:themeColor="text1"/>
        </w:rPr>
        <w:t>carrierFreq</w:t>
      </w:r>
      <w:proofErr w:type="spellEnd"/>
      <w:r w:rsidRPr="005F72D6">
        <w:rPr>
          <w:iCs/>
          <w:color w:val="000000" w:themeColor="text1"/>
        </w:rPr>
        <w:t xml:space="preserve"> within the associated entry, for each cell in the measurement results:</w:t>
      </w:r>
    </w:p>
    <w:p w14:paraId="0C306290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 xml:space="preserve">derive beam measurements based on SS/PBCH block for each measurement quantity indicated in </w:t>
      </w:r>
      <w:proofErr w:type="spellStart"/>
      <w:r w:rsidRPr="005F72D6">
        <w:rPr>
          <w:i/>
          <w:color w:val="000000" w:themeColor="text1"/>
          <w:lang w:val="en-GB"/>
        </w:rPr>
        <w:t>reportQuantityRS</w:t>
      </w:r>
      <w:proofErr w:type="spellEnd"/>
      <w:r w:rsidRPr="005F72D6">
        <w:rPr>
          <w:i/>
          <w:color w:val="000000" w:themeColor="text1"/>
          <w:lang w:val="en-GB"/>
        </w:rPr>
        <w:t>-Indexes</w:t>
      </w:r>
      <w:r w:rsidRPr="005F72D6">
        <w:rPr>
          <w:color w:val="000000" w:themeColor="text1"/>
          <w:lang w:val="en-GB"/>
        </w:rPr>
        <w:t xml:space="preserve">, as </w:t>
      </w:r>
      <w:r w:rsidRPr="005F72D6">
        <w:rPr>
          <w:color w:val="000000" w:themeColor="text1"/>
          <w:lang w:val="en-GB" w:eastAsia="x-none"/>
        </w:rPr>
        <w:t>described in TS 38.215 [9];</w:t>
      </w:r>
    </w:p>
    <w:p w14:paraId="3741DB92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 xml:space="preserve">if the </w:t>
      </w:r>
      <w:proofErr w:type="spellStart"/>
      <w:r w:rsidRPr="005F72D6">
        <w:rPr>
          <w:i/>
          <w:iCs/>
          <w:color w:val="000000" w:themeColor="text1"/>
          <w:lang w:val="en-GB"/>
        </w:rPr>
        <w:t>reportQuantityRS</w:t>
      </w:r>
      <w:proofErr w:type="spellEnd"/>
      <w:r w:rsidRPr="005F72D6">
        <w:rPr>
          <w:i/>
          <w:iCs/>
          <w:color w:val="000000" w:themeColor="text1"/>
          <w:lang w:val="en-GB"/>
        </w:rPr>
        <w:t xml:space="preserve">-Indexes </w:t>
      </w:r>
      <w:r w:rsidRPr="005F72D6">
        <w:rPr>
          <w:color w:val="000000" w:themeColor="text1"/>
          <w:lang w:val="en-GB"/>
        </w:rPr>
        <w:t xml:space="preserve">is set to </w:t>
      </w:r>
      <w:proofErr w:type="spellStart"/>
      <w:r w:rsidRPr="005F72D6">
        <w:rPr>
          <w:color w:val="000000" w:themeColor="text1"/>
          <w:lang w:val="en-GB"/>
        </w:rPr>
        <w:t>rsrq</w:t>
      </w:r>
      <w:proofErr w:type="spellEnd"/>
      <w:r w:rsidRPr="005F72D6">
        <w:rPr>
          <w:color w:val="000000" w:themeColor="text1"/>
          <w:lang w:val="en-GB"/>
        </w:rPr>
        <w:t>:</w:t>
      </w:r>
    </w:p>
    <w:p w14:paraId="74913EC9" w14:textId="77777777" w:rsidR="00EB09E3" w:rsidRPr="005F72D6" w:rsidRDefault="00EB09E3" w:rsidP="00EB09E3">
      <w:pPr>
        <w:pStyle w:val="B7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7&gt;</w:t>
      </w:r>
      <w:r w:rsidRPr="005F72D6">
        <w:rPr>
          <w:color w:val="000000" w:themeColor="text1"/>
          <w:lang w:val="en-GB"/>
        </w:rPr>
        <w:tab/>
        <w:t>consider RSRQ as the beam sorting quantity;</w:t>
      </w:r>
    </w:p>
    <w:p w14:paraId="0322A18E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>else:</w:t>
      </w:r>
    </w:p>
    <w:p w14:paraId="629C73DD" w14:textId="77777777" w:rsidR="00EB09E3" w:rsidRPr="005F72D6" w:rsidRDefault="00EB09E3" w:rsidP="00EB09E3">
      <w:pPr>
        <w:pStyle w:val="B7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7&gt;</w:t>
      </w:r>
      <w:r w:rsidRPr="005F72D6">
        <w:rPr>
          <w:color w:val="000000" w:themeColor="text1"/>
          <w:lang w:val="en-GB"/>
        </w:rPr>
        <w:tab/>
        <w:t>consider RSRP as the beam sorting quantity;</w:t>
      </w:r>
    </w:p>
    <w:p w14:paraId="2715D6BB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 xml:space="preserve">set </w:t>
      </w:r>
      <w:proofErr w:type="spellStart"/>
      <w:r w:rsidRPr="005F72D6">
        <w:rPr>
          <w:i/>
          <w:color w:val="000000" w:themeColor="text1"/>
          <w:lang w:val="en-GB"/>
        </w:rPr>
        <w:t>resultsSSB</w:t>
      </w:r>
      <w:proofErr w:type="spellEnd"/>
      <w:r w:rsidRPr="005F72D6">
        <w:rPr>
          <w:i/>
          <w:color w:val="000000" w:themeColor="text1"/>
          <w:lang w:val="en-GB"/>
        </w:rPr>
        <w:t xml:space="preserve">-Indexes </w:t>
      </w:r>
      <w:r w:rsidRPr="005F72D6">
        <w:rPr>
          <w:color w:val="000000" w:themeColor="text1"/>
          <w:lang w:val="en-GB"/>
        </w:rPr>
        <w:t xml:space="preserve">to include up to </w:t>
      </w:r>
      <w:proofErr w:type="spellStart"/>
      <w:r w:rsidRPr="005F72D6">
        <w:rPr>
          <w:i/>
          <w:color w:val="000000" w:themeColor="text1"/>
          <w:lang w:val="en-GB"/>
        </w:rPr>
        <w:t>maxNrofRS-IndexesToReport</w:t>
      </w:r>
      <w:proofErr w:type="spellEnd"/>
      <w:r w:rsidRPr="005F72D6">
        <w:rPr>
          <w:color w:val="000000" w:themeColor="text1"/>
          <w:lang w:val="en-GB"/>
        </w:rPr>
        <w:t xml:space="preserve"> SS/PBCH block indexes in order of decreasing beam sorting quantity as follows:</w:t>
      </w:r>
    </w:p>
    <w:p w14:paraId="0BDB8E91" w14:textId="77777777" w:rsidR="00EB09E3" w:rsidRPr="005F72D6" w:rsidRDefault="00EB09E3" w:rsidP="00EB09E3">
      <w:pPr>
        <w:pStyle w:val="B7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7&gt;</w:t>
      </w:r>
      <w:r w:rsidRPr="005F72D6">
        <w:rPr>
          <w:color w:val="000000" w:themeColor="text1"/>
          <w:lang w:val="en-GB"/>
        </w:rPr>
        <w:tab/>
        <w:t xml:space="preserve">include the index associated to the best beam for the sorting quantity and if </w:t>
      </w:r>
      <w:proofErr w:type="spellStart"/>
      <w:r w:rsidRPr="005F72D6">
        <w:rPr>
          <w:i/>
          <w:color w:val="000000" w:themeColor="text1"/>
          <w:lang w:val="en-GB"/>
        </w:rPr>
        <w:t>absThreshSS-BlocksConsolidation</w:t>
      </w:r>
      <w:proofErr w:type="spellEnd"/>
      <w:r w:rsidRPr="005F72D6">
        <w:rPr>
          <w:color w:val="000000" w:themeColor="text1"/>
          <w:lang w:val="en-GB"/>
        </w:rPr>
        <w:t xml:space="preserve"> is included, the remaining beams whose sorting quantity is above </w:t>
      </w:r>
      <w:proofErr w:type="spellStart"/>
      <w:r w:rsidRPr="005F72D6">
        <w:rPr>
          <w:i/>
          <w:color w:val="000000" w:themeColor="text1"/>
          <w:lang w:val="en-GB"/>
        </w:rPr>
        <w:t>absThreshSS-BlocksConsolidation</w:t>
      </w:r>
      <w:proofErr w:type="spellEnd"/>
      <w:r w:rsidRPr="005F72D6">
        <w:rPr>
          <w:color w:val="000000" w:themeColor="text1"/>
          <w:lang w:val="en-GB"/>
        </w:rPr>
        <w:t>;</w:t>
      </w:r>
    </w:p>
    <w:p w14:paraId="00F900DC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 xml:space="preserve">if the </w:t>
      </w:r>
      <w:proofErr w:type="spellStart"/>
      <w:r w:rsidRPr="005F72D6">
        <w:rPr>
          <w:i/>
          <w:color w:val="000000" w:themeColor="text1"/>
          <w:lang w:val="en-GB"/>
        </w:rPr>
        <w:t>includeBeamMeasurements</w:t>
      </w:r>
      <w:proofErr w:type="spellEnd"/>
      <w:r w:rsidRPr="005F72D6">
        <w:rPr>
          <w:color w:val="000000" w:themeColor="text1"/>
          <w:lang w:val="en-GB"/>
        </w:rPr>
        <w:t xml:space="preserve"> is set to </w:t>
      </w:r>
      <w:r w:rsidRPr="005F72D6">
        <w:rPr>
          <w:i/>
          <w:iCs/>
          <w:color w:val="000000" w:themeColor="text1"/>
          <w:lang w:val="en-GB"/>
        </w:rPr>
        <w:t>true</w:t>
      </w:r>
      <w:r w:rsidRPr="005F72D6">
        <w:rPr>
          <w:color w:val="000000" w:themeColor="text1"/>
          <w:lang w:val="en-GB"/>
        </w:rPr>
        <w:t>:</w:t>
      </w:r>
    </w:p>
    <w:p w14:paraId="6BA2A387" w14:textId="77777777" w:rsidR="00EB09E3" w:rsidRPr="005F72D6" w:rsidRDefault="00EB09E3" w:rsidP="00EB09E3">
      <w:pPr>
        <w:pStyle w:val="B7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7&gt;</w:t>
      </w:r>
      <w:r w:rsidRPr="005F72D6">
        <w:rPr>
          <w:color w:val="000000" w:themeColor="text1"/>
          <w:lang w:val="en-GB"/>
        </w:rPr>
        <w:tab/>
        <w:t>include the beam measurement results as indicated by</w:t>
      </w:r>
      <w:r w:rsidRPr="005F72D6">
        <w:rPr>
          <w:i/>
          <w:color w:val="000000" w:themeColor="text1"/>
          <w:lang w:val="en-GB"/>
        </w:rPr>
        <w:t xml:space="preserve"> </w:t>
      </w:r>
      <w:proofErr w:type="spellStart"/>
      <w:r w:rsidRPr="005F72D6">
        <w:rPr>
          <w:i/>
          <w:color w:val="000000" w:themeColor="text1"/>
          <w:lang w:val="en-GB"/>
        </w:rPr>
        <w:t>reportQuantityRS</w:t>
      </w:r>
      <w:proofErr w:type="spellEnd"/>
      <w:r w:rsidRPr="005F72D6">
        <w:rPr>
          <w:color w:val="000000" w:themeColor="text1"/>
          <w:lang w:val="en-GB"/>
        </w:rPr>
        <w:t>-</w:t>
      </w:r>
      <w:r w:rsidRPr="005F72D6">
        <w:rPr>
          <w:i/>
          <w:color w:val="000000" w:themeColor="text1"/>
          <w:lang w:val="en-GB"/>
        </w:rPr>
        <w:t>Indexes</w:t>
      </w:r>
      <w:r w:rsidRPr="005F72D6">
        <w:rPr>
          <w:color w:val="000000" w:themeColor="text1"/>
          <w:lang w:val="en-GB"/>
        </w:rPr>
        <w:t>;</w:t>
      </w:r>
    </w:p>
    <w:p w14:paraId="5968674E" w14:textId="77777777" w:rsidR="00EB09E3" w:rsidRPr="005F72D6" w:rsidRDefault="00EB09E3" w:rsidP="00EB09E3">
      <w:pPr>
        <w:pStyle w:val="B2"/>
        <w:rPr>
          <w:color w:val="000000" w:themeColor="text1"/>
        </w:rPr>
      </w:pPr>
      <w:r w:rsidRPr="005F72D6">
        <w:rPr>
          <w:color w:val="000000" w:themeColor="text1"/>
        </w:rPr>
        <w:t>2&gt;</w:t>
      </w:r>
      <w:r w:rsidRPr="005F72D6">
        <w:rPr>
          <w:color w:val="000000" w:themeColor="text1"/>
        </w:rPr>
        <w:tab/>
        <w:t xml:space="preserve">if, as a result of the procedure in this </w:t>
      </w:r>
      <w:proofErr w:type="spellStart"/>
      <w:r w:rsidRPr="005F72D6">
        <w:rPr>
          <w:color w:val="000000" w:themeColor="text1"/>
        </w:rPr>
        <w:t>subclause</w:t>
      </w:r>
      <w:proofErr w:type="spellEnd"/>
      <w:r w:rsidRPr="005F72D6">
        <w:rPr>
          <w:color w:val="000000" w:themeColor="text1"/>
        </w:rPr>
        <w:t xml:space="preserve">, the UE performs measurements in one or more carrier frequency indicated by </w:t>
      </w:r>
      <w:proofErr w:type="spellStart"/>
      <w:r w:rsidRPr="005F72D6">
        <w:rPr>
          <w:i/>
          <w:iCs/>
          <w:color w:val="000000" w:themeColor="text1"/>
        </w:rPr>
        <w:t>measIdleCarrierListNR</w:t>
      </w:r>
      <w:proofErr w:type="spellEnd"/>
      <w:r w:rsidRPr="005F72D6">
        <w:rPr>
          <w:color w:val="000000" w:themeColor="text1"/>
        </w:rPr>
        <w:t xml:space="preserve"> or </w:t>
      </w:r>
      <w:proofErr w:type="spellStart"/>
      <w:r w:rsidRPr="005F72D6">
        <w:rPr>
          <w:i/>
          <w:iCs/>
          <w:color w:val="000000" w:themeColor="text1"/>
        </w:rPr>
        <w:t>measIdleCarrierListEUTRA</w:t>
      </w:r>
      <w:proofErr w:type="spellEnd"/>
      <w:r w:rsidRPr="005F72D6">
        <w:rPr>
          <w:color w:val="000000" w:themeColor="text1"/>
        </w:rPr>
        <w:t>:</w:t>
      </w:r>
    </w:p>
    <w:p w14:paraId="15500B0F" w14:textId="77777777" w:rsidR="00EB09E3" w:rsidRPr="005F72D6" w:rsidRDefault="00EB09E3" w:rsidP="00EB09E3">
      <w:pPr>
        <w:pStyle w:val="B3"/>
        <w:rPr>
          <w:color w:val="000000" w:themeColor="text1"/>
        </w:rPr>
      </w:pPr>
      <w:r w:rsidRPr="005F72D6">
        <w:rPr>
          <w:color w:val="000000" w:themeColor="text1"/>
        </w:rPr>
        <w:t>3&gt;</w:t>
      </w:r>
      <w:r w:rsidRPr="005F72D6">
        <w:rPr>
          <w:color w:val="000000" w:themeColor="text1"/>
        </w:rPr>
        <w:tab/>
        <w:t xml:space="preserve">store the cell measurement results for RSRP and RSRQ for the serving cell within </w:t>
      </w:r>
      <w:proofErr w:type="spellStart"/>
      <w:r w:rsidRPr="005F72D6">
        <w:rPr>
          <w:i/>
          <w:iCs/>
          <w:color w:val="000000" w:themeColor="text1"/>
        </w:rPr>
        <w:t>measResultServingCell</w:t>
      </w:r>
      <w:proofErr w:type="spellEnd"/>
      <w:r w:rsidRPr="005F72D6">
        <w:rPr>
          <w:color w:val="000000" w:themeColor="text1"/>
        </w:rPr>
        <w:t xml:space="preserve"> in the </w:t>
      </w:r>
      <w:proofErr w:type="spellStart"/>
      <w:r w:rsidRPr="005F72D6">
        <w:rPr>
          <w:color w:val="000000" w:themeColor="text1"/>
        </w:rPr>
        <w:t>measReportIdleNR</w:t>
      </w:r>
      <w:proofErr w:type="spellEnd"/>
      <w:r w:rsidRPr="005F72D6">
        <w:rPr>
          <w:color w:val="000000" w:themeColor="text1"/>
        </w:rPr>
        <w:t xml:space="preserve"> in </w:t>
      </w:r>
      <w:proofErr w:type="spellStart"/>
      <w:r w:rsidRPr="005F72D6">
        <w:rPr>
          <w:i/>
          <w:iCs/>
          <w:color w:val="000000" w:themeColor="text1"/>
        </w:rPr>
        <w:t>VarMeasIdleReport</w:t>
      </w:r>
      <w:proofErr w:type="spellEnd"/>
      <w:r w:rsidRPr="005F72D6">
        <w:rPr>
          <w:color w:val="000000" w:themeColor="text1"/>
        </w:rPr>
        <w:t>.</w:t>
      </w:r>
    </w:p>
    <w:p w14:paraId="3AC4EB42" w14:textId="77777777" w:rsidR="00EB09E3" w:rsidRPr="005F72D6" w:rsidRDefault="00EB09E3" w:rsidP="00EB09E3">
      <w:pPr>
        <w:pStyle w:val="B3"/>
        <w:rPr>
          <w:color w:val="000000" w:themeColor="text1"/>
        </w:rPr>
      </w:pPr>
      <w:r w:rsidRPr="005F72D6">
        <w:rPr>
          <w:color w:val="000000" w:themeColor="text1"/>
        </w:rPr>
        <w:t>3&gt;</w:t>
      </w:r>
      <w:r w:rsidRPr="005F72D6">
        <w:rPr>
          <w:color w:val="000000" w:themeColor="text1"/>
        </w:rPr>
        <w:tab/>
        <w:t xml:space="preserve">if the </w:t>
      </w:r>
      <w:proofErr w:type="spellStart"/>
      <w:r w:rsidRPr="005F72D6">
        <w:rPr>
          <w:i/>
          <w:iCs/>
          <w:color w:val="000000" w:themeColor="text1"/>
        </w:rPr>
        <w:t>VarMeasIdleConfig</w:t>
      </w:r>
      <w:proofErr w:type="spellEnd"/>
      <w:r w:rsidRPr="005F72D6">
        <w:rPr>
          <w:color w:val="000000" w:themeColor="text1"/>
        </w:rPr>
        <w:t xml:space="preserve"> includes the </w:t>
      </w:r>
      <w:proofErr w:type="spellStart"/>
      <w:r w:rsidRPr="005F72D6">
        <w:rPr>
          <w:i/>
          <w:iCs/>
          <w:color w:val="000000" w:themeColor="text1"/>
        </w:rPr>
        <w:t>measIdleCarrierListNR</w:t>
      </w:r>
      <w:proofErr w:type="spellEnd"/>
      <w:r w:rsidRPr="005F72D6">
        <w:rPr>
          <w:color w:val="000000" w:themeColor="text1"/>
        </w:rPr>
        <w:t xml:space="preserve"> and it contains an entry with </w:t>
      </w:r>
      <w:proofErr w:type="spellStart"/>
      <w:r w:rsidRPr="005F72D6">
        <w:rPr>
          <w:i/>
          <w:iCs/>
          <w:color w:val="000000" w:themeColor="text1"/>
        </w:rPr>
        <w:t>carrierFreq</w:t>
      </w:r>
      <w:proofErr w:type="spellEnd"/>
      <w:r w:rsidRPr="005F72D6">
        <w:rPr>
          <w:color w:val="000000" w:themeColor="text1"/>
        </w:rPr>
        <w:t xml:space="preserve"> set to the value of the serving frequency:</w:t>
      </w:r>
    </w:p>
    <w:p w14:paraId="2F820E48" w14:textId="77777777" w:rsidR="00EB09E3" w:rsidRPr="005F72D6" w:rsidRDefault="00EB09E3" w:rsidP="00EB09E3">
      <w:pPr>
        <w:pStyle w:val="B4"/>
        <w:rPr>
          <w:color w:val="000000" w:themeColor="text1"/>
        </w:rPr>
      </w:pPr>
      <w:r w:rsidRPr="005F72D6">
        <w:rPr>
          <w:color w:val="000000" w:themeColor="text1"/>
        </w:rPr>
        <w:t>4&gt;</w:t>
      </w:r>
      <w:r w:rsidRPr="005F72D6">
        <w:rPr>
          <w:color w:val="000000" w:themeColor="text1"/>
        </w:rPr>
        <w:tab/>
        <w:t xml:space="preserve">if </w:t>
      </w:r>
      <w:proofErr w:type="spellStart"/>
      <w:r w:rsidRPr="005F72D6">
        <w:rPr>
          <w:i/>
          <w:iCs/>
          <w:color w:val="000000" w:themeColor="text1"/>
        </w:rPr>
        <w:t>beamMeasConfigIdle</w:t>
      </w:r>
      <w:proofErr w:type="spellEnd"/>
      <w:r w:rsidRPr="005F72D6">
        <w:rPr>
          <w:color w:val="000000" w:themeColor="text1"/>
        </w:rPr>
        <w:t xml:space="preserve"> is included in that entry, and if the UE supports </w:t>
      </w:r>
      <w:proofErr w:type="spellStart"/>
      <w:r w:rsidRPr="005F72D6">
        <w:rPr>
          <w:i/>
          <w:iCs/>
          <w:color w:val="000000" w:themeColor="text1"/>
        </w:rPr>
        <w:t>idleInactiveNR</w:t>
      </w:r>
      <w:proofErr w:type="spellEnd"/>
      <w:r w:rsidRPr="005F72D6">
        <w:rPr>
          <w:i/>
          <w:iCs/>
          <w:color w:val="000000" w:themeColor="text1"/>
        </w:rPr>
        <w:t xml:space="preserve">- </w:t>
      </w:r>
      <w:proofErr w:type="spellStart"/>
      <w:r w:rsidRPr="005F72D6">
        <w:rPr>
          <w:i/>
          <w:iCs/>
          <w:color w:val="000000" w:themeColor="text1"/>
        </w:rPr>
        <w:t>MeasBeamReport</w:t>
      </w:r>
      <w:proofErr w:type="spellEnd"/>
      <w:r w:rsidRPr="005F72D6">
        <w:rPr>
          <w:color w:val="000000" w:themeColor="text1"/>
        </w:rPr>
        <w:t xml:space="preserve"> for the FR of the serving cell:</w:t>
      </w:r>
    </w:p>
    <w:p w14:paraId="2B6AA8B0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lastRenderedPageBreak/>
        <w:t>5&gt;</w:t>
      </w:r>
      <w:r w:rsidRPr="005F72D6">
        <w:rPr>
          <w:color w:val="000000" w:themeColor="text1"/>
        </w:rPr>
        <w:tab/>
        <w:t xml:space="preserve">derive beam measurements based on SS/PBCH block for each measurement quantity indicated in </w:t>
      </w:r>
      <w:proofErr w:type="spellStart"/>
      <w:r w:rsidRPr="005F72D6">
        <w:rPr>
          <w:i/>
          <w:iCs/>
          <w:color w:val="000000" w:themeColor="text1"/>
        </w:rPr>
        <w:t>reportQuantityRS</w:t>
      </w:r>
      <w:proofErr w:type="spellEnd"/>
      <w:r w:rsidRPr="005F72D6">
        <w:rPr>
          <w:i/>
          <w:iCs/>
          <w:color w:val="000000" w:themeColor="text1"/>
        </w:rPr>
        <w:t>-Indexes</w:t>
      </w:r>
      <w:r w:rsidRPr="005F72D6">
        <w:rPr>
          <w:color w:val="000000" w:themeColor="text1"/>
        </w:rPr>
        <w:t>, as described in TS 38.215 [9];</w:t>
      </w:r>
    </w:p>
    <w:p w14:paraId="35D63B2F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 xml:space="preserve">if the </w:t>
      </w:r>
      <w:proofErr w:type="spellStart"/>
      <w:r w:rsidRPr="005F72D6">
        <w:rPr>
          <w:i/>
          <w:iCs/>
          <w:color w:val="000000" w:themeColor="text1"/>
        </w:rPr>
        <w:t>reportQuantityRS</w:t>
      </w:r>
      <w:proofErr w:type="spellEnd"/>
      <w:r w:rsidRPr="005F72D6">
        <w:rPr>
          <w:i/>
          <w:iCs/>
          <w:color w:val="000000" w:themeColor="text1"/>
        </w:rPr>
        <w:t>-Indexes</w:t>
      </w:r>
      <w:r w:rsidRPr="005F72D6">
        <w:rPr>
          <w:color w:val="000000" w:themeColor="text1"/>
        </w:rPr>
        <w:t xml:space="preserve"> is set to </w:t>
      </w:r>
      <w:proofErr w:type="spellStart"/>
      <w:r w:rsidRPr="005F72D6">
        <w:rPr>
          <w:color w:val="000000" w:themeColor="text1"/>
        </w:rPr>
        <w:t>rsrq</w:t>
      </w:r>
      <w:proofErr w:type="spellEnd"/>
      <w:r w:rsidRPr="005F72D6">
        <w:rPr>
          <w:color w:val="000000" w:themeColor="text1"/>
        </w:rPr>
        <w:t>:</w:t>
      </w:r>
    </w:p>
    <w:p w14:paraId="76A94C58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>consider RSRQ as the beam sorting quantity;</w:t>
      </w:r>
    </w:p>
    <w:p w14:paraId="57E2B6BE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>else:</w:t>
      </w:r>
    </w:p>
    <w:p w14:paraId="2F896AB8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>consider RSRP as the beam sorting quantity;</w:t>
      </w:r>
    </w:p>
    <w:p w14:paraId="45CFEA90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 xml:space="preserve">set </w:t>
      </w:r>
      <w:proofErr w:type="spellStart"/>
      <w:r w:rsidRPr="005F72D6">
        <w:rPr>
          <w:i/>
          <w:iCs/>
          <w:color w:val="000000" w:themeColor="text1"/>
        </w:rPr>
        <w:t>resultsSSB</w:t>
      </w:r>
      <w:proofErr w:type="spellEnd"/>
      <w:r w:rsidRPr="005F72D6">
        <w:rPr>
          <w:i/>
          <w:iCs/>
          <w:color w:val="000000" w:themeColor="text1"/>
        </w:rPr>
        <w:t>-Indexes</w:t>
      </w:r>
      <w:r w:rsidRPr="005F72D6">
        <w:rPr>
          <w:color w:val="000000" w:themeColor="text1"/>
        </w:rPr>
        <w:t xml:space="preserve"> to include up to </w:t>
      </w:r>
      <w:proofErr w:type="spellStart"/>
      <w:r w:rsidRPr="005F72D6">
        <w:rPr>
          <w:i/>
          <w:iCs/>
          <w:color w:val="000000" w:themeColor="text1"/>
        </w:rPr>
        <w:t>maxNrofRS-IndexesToReport</w:t>
      </w:r>
      <w:proofErr w:type="spellEnd"/>
      <w:r w:rsidRPr="005F72D6">
        <w:rPr>
          <w:color w:val="000000" w:themeColor="text1"/>
        </w:rPr>
        <w:t xml:space="preserve"> SS/PBCH block indexes in order of decreasing beam sorting quantity as follows:</w:t>
      </w:r>
    </w:p>
    <w:p w14:paraId="5466685C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 xml:space="preserve">include the index associated to the best beam for the sorting quantity and if </w:t>
      </w:r>
      <w:proofErr w:type="spellStart"/>
      <w:r w:rsidRPr="005F72D6">
        <w:rPr>
          <w:i/>
          <w:iCs/>
          <w:color w:val="000000" w:themeColor="text1"/>
          <w:lang w:val="en-GB"/>
        </w:rPr>
        <w:t>absThreshSS-BlocksConsolidation</w:t>
      </w:r>
      <w:proofErr w:type="spellEnd"/>
      <w:r w:rsidRPr="005F72D6">
        <w:rPr>
          <w:color w:val="000000" w:themeColor="text1"/>
          <w:lang w:val="en-GB"/>
        </w:rPr>
        <w:t xml:space="preserve"> is included in </w:t>
      </w:r>
      <w:r w:rsidRPr="005F72D6">
        <w:rPr>
          <w:i/>
          <w:color w:val="000000" w:themeColor="text1"/>
          <w:lang w:val="en-GB"/>
        </w:rPr>
        <w:t>SIB2</w:t>
      </w:r>
      <w:r w:rsidRPr="005F72D6">
        <w:rPr>
          <w:color w:val="000000" w:themeColor="text1"/>
          <w:lang w:val="en-GB"/>
        </w:rPr>
        <w:t xml:space="preserve"> of serving cell, the remaining beams whose sorting quantity is above </w:t>
      </w:r>
      <w:proofErr w:type="spellStart"/>
      <w:r w:rsidRPr="005F72D6">
        <w:rPr>
          <w:i/>
          <w:iCs/>
          <w:color w:val="000000" w:themeColor="text1"/>
          <w:lang w:val="en-GB"/>
        </w:rPr>
        <w:t>absThreshSS-BlocksConsolidation</w:t>
      </w:r>
      <w:proofErr w:type="spellEnd"/>
      <w:r w:rsidRPr="005F72D6">
        <w:rPr>
          <w:color w:val="000000" w:themeColor="text1"/>
          <w:lang w:val="en-GB"/>
        </w:rPr>
        <w:t>;</w:t>
      </w:r>
    </w:p>
    <w:p w14:paraId="77BE6749" w14:textId="77777777" w:rsidR="00EB09E3" w:rsidRPr="005F72D6" w:rsidRDefault="00EB09E3" w:rsidP="00EB09E3">
      <w:pPr>
        <w:pStyle w:val="B5"/>
        <w:rPr>
          <w:color w:val="000000" w:themeColor="text1"/>
        </w:rPr>
      </w:pPr>
      <w:r w:rsidRPr="005F72D6">
        <w:rPr>
          <w:color w:val="000000" w:themeColor="text1"/>
        </w:rPr>
        <w:t>5&gt;</w:t>
      </w:r>
      <w:r w:rsidRPr="005F72D6">
        <w:rPr>
          <w:color w:val="000000" w:themeColor="text1"/>
        </w:rPr>
        <w:tab/>
        <w:t xml:space="preserve">if the </w:t>
      </w:r>
      <w:proofErr w:type="spellStart"/>
      <w:r w:rsidRPr="005F72D6">
        <w:rPr>
          <w:i/>
          <w:iCs/>
          <w:color w:val="000000" w:themeColor="text1"/>
        </w:rPr>
        <w:t>includeBeamMeasurements</w:t>
      </w:r>
      <w:proofErr w:type="spellEnd"/>
      <w:r w:rsidRPr="005F72D6">
        <w:rPr>
          <w:color w:val="000000" w:themeColor="text1"/>
        </w:rPr>
        <w:t xml:space="preserve"> is set to true:</w:t>
      </w:r>
    </w:p>
    <w:p w14:paraId="5E8D61DD" w14:textId="77777777" w:rsidR="00EB09E3" w:rsidRPr="005F72D6" w:rsidRDefault="00EB09E3" w:rsidP="00EB09E3">
      <w:pPr>
        <w:pStyle w:val="B6"/>
        <w:rPr>
          <w:color w:val="000000" w:themeColor="text1"/>
          <w:lang w:val="en-GB"/>
        </w:rPr>
      </w:pPr>
      <w:r w:rsidRPr="005F72D6">
        <w:rPr>
          <w:color w:val="000000" w:themeColor="text1"/>
          <w:lang w:val="en-GB"/>
        </w:rPr>
        <w:t>6&gt;</w:t>
      </w:r>
      <w:r w:rsidRPr="005F72D6">
        <w:rPr>
          <w:color w:val="000000" w:themeColor="text1"/>
          <w:lang w:val="en-GB"/>
        </w:rPr>
        <w:tab/>
        <w:t xml:space="preserve">include the beam measurement results as indicated by </w:t>
      </w:r>
      <w:proofErr w:type="spellStart"/>
      <w:r w:rsidRPr="005F72D6">
        <w:rPr>
          <w:i/>
          <w:iCs/>
          <w:color w:val="000000" w:themeColor="text1"/>
          <w:lang w:val="en-GB"/>
        </w:rPr>
        <w:t>reportQuantityRS</w:t>
      </w:r>
      <w:proofErr w:type="spellEnd"/>
      <w:r w:rsidRPr="005F72D6">
        <w:rPr>
          <w:i/>
          <w:iCs/>
          <w:color w:val="000000" w:themeColor="text1"/>
          <w:lang w:val="en-GB"/>
        </w:rPr>
        <w:t>-Indexes</w:t>
      </w:r>
      <w:r w:rsidRPr="005F72D6">
        <w:rPr>
          <w:color w:val="000000" w:themeColor="text1"/>
          <w:lang w:val="en-GB"/>
        </w:rPr>
        <w:t>;</w:t>
      </w:r>
    </w:p>
    <w:p w14:paraId="70F04F59" w14:textId="77777777" w:rsidR="00EB09E3" w:rsidRDefault="00A25B6D" w:rsidP="00EB09E3">
      <w:pPr>
        <w:rPr>
          <w:lang w:val="en-US" w:eastAsia="ja-JP"/>
        </w:rPr>
      </w:pPr>
      <w:r>
        <w:rPr>
          <w:color w:val="000000" w:themeColor="text1"/>
        </w:rPr>
        <w:pict w14:anchorId="334C246D">
          <v:rect id="_x0000_i1026" style="width:0;height:1.5pt" o:hralign="center" o:hrstd="t" o:hr="t" fillcolor="#a0a0a0" stroked="f">
            <v:textbox inset="5.85pt,.7pt,5.85pt,.7pt"/>
          </v:rect>
        </w:pict>
      </w:r>
    </w:p>
    <w:p w14:paraId="6352D13C" w14:textId="77777777" w:rsidR="00EB09E3" w:rsidRPr="005F72D6" w:rsidRDefault="00EB09E3" w:rsidP="00EB09E3">
      <w:pPr>
        <w:rPr>
          <w:lang w:eastAsia="ja-JP"/>
        </w:rPr>
      </w:pPr>
    </w:p>
    <w:sectPr w:rsidR="00EB09E3" w:rsidRPr="005F72D6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7F99A" w14:textId="77777777" w:rsidR="00A25B6D" w:rsidRDefault="00A25B6D" w:rsidP="00CB4413">
      <w:pPr>
        <w:spacing w:after="0"/>
      </w:pPr>
      <w:r>
        <w:separator/>
      </w:r>
    </w:p>
  </w:endnote>
  <w:endnote w:type="continuationSeparator" w:id="0">
    <w:p w14:paraId="3C9137CF" w14:textId="77777777" w:rsidR="00A25B6D" w:rsidRDefault="00A25B6D" w:rsidP="00CB44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9A85A" w14:textId="77777777" w:rsidR="00376BC4" w:rsidRDefault="00173F56" w:rsidP="00747190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FAC5878" w14:textId="77777777" w:rsidR="00376BC4" w:rsidRDefault="00A25B6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56A4C" w14:textId="5D7B93D6" w:rsidR="00376BC4" w:rsidRDefault="00173F56" w:rsidP="00747190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C641C">
      <w:rPr>
        <w:rStyle w:val="aa"/>
        <w:noProof/>
      </w:rPr>
      <w:t>5</w:t>
    </w:r>
    <w:r>
      <w:rPr>
        <w:rStyle w:val="aa"/>
      </w:rPr>
      <w:fldChar w:fldCharType="end"/>
    </w:r>
  </w:p>
  <w:p w14:paraId="1A2BBBDB" w14:textId="77777777" w:rsidR="00376BC4" w:rsidRDefault="00A25B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37235" w14:textId="77777777" w:rsidR="00A25B6D" w:rsidRDefault="00A25B6D" w:rsidP="00CB4413">
      <w:pPr>
        <w:spacing w:after="0"/>
      </w:pPr>
      <w:r>
        <w:separator/>
      </w:r>
    </w:p>
  </w:footnote>
  <w:footnote w:type="continuationSeparator" w:id="0">
    <w:p w14:paraId="0BEB2FF0" w14:textId="77777777" w:rsidR="00A25B6D" w:rsidRDefault="00A25B6D" w:rsidP="00CB44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958D7" w14:textId="77777777" w:rsidR="00376BC4" w:rsidRDefault="00A25B6D">
    <w:pPr>
      <w:pStyle w:val="a3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D5D3A"/>
    <w:multiLevelType w:val="hybridMultilevel"/>
    <w:tmpl w:val="95AE9B18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AA31EDE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96A"/>
    <w:rsid w:val="00015967"/>
    <w:rsid w:val="000D2251"/>
    <w:rsid w:val="001243A9"/>
    <w:rsid w:val="001462F7"/>
    <w:rsid w:val="001525B3"/>
    <w:rsid w:val="00173F56"/>
    <w:rsid w:val="001D30F0"/>
    <w:rsid w:val="001E0F9D"/>
    <w:rsid w:val="00220073"/>
    <w:rsid w:val="00244E4D"/>
    <w:rsid w:val="002854B0"/>
    <w:rsid w:val="002B29A4"/>
    <w:rsid w:val="00302A7C"/>
    <w:rsid w:val="00303DFD"/>
    <w:rsid w:val="003046E1"/>
    <w:rsid w:val="00320EA7"/>
    <w:rsid w:val="00354C8E"/>
    <w:rsid w:val="00365E43"/>
    <w:rsid w:val="0038096A"/>
    <w:rsid w:val="003930F2"/>
    <w:rsid w:val="003B5DCD"/>
    <w:rsid w:val="003C11B8"/>
    <w:rsid w:val="003F41E1"/>
    <w:rsid w:val="004852FB"/>
    <w:rsid w:val="004C641C"/>
    <w:rsid w:val="00513C5E"/>
    <w:rsid w:val="005234C1"/>
    <w:rsid w:val="0053680A"/>
    <w:rsid w:val="00546A0A"/>
    <w:rsid w:val="00586EF2"/>
    <w:rsid w:val="005947E7"/>
    <w:rsid w:val="005D6205"/>
    <w:rsid w:val="005E477B"/>
    <w:rsid w:val="005F72D6"/>
    <w:rsid w:val="006051C6"/>
    <w:rsid w:val="00641B40"/>
    <w:rsid w:val="006D6B26"/>
    <w:rsid w:val="006E5790"/>
    <w:rsid w:val="006F3E6F"/>
    <w:rsid w:val="006F7798"/>
    <w:rsid w:val="0070725E"/>
    <w:rsid w:val="0073409D"/>
    <w:rsid w:val="007444B7"/>
    <w:rsid w:val="00790D10"/>
    <w:rsid w:val="007A0745"/>
    <w:rsid w:val="007E4F27"/>
    <w:rsid w:val="00834F90"/>
    <w:rsid w:val="00855F08"/>
    <w:rsid w:val="008C35E9"/>
    <w:rsid w:val="00923D6E"/>
    <w:rsid w:val="00953811"/>
    <w:rsid w:val="00957469"/>
    <w:rsid w:val="009B5A2E"/>
    <w:rsid w:val="009F40AE"/>
    <w:rsid w:val="00A01228"/>
    <w:rsid w:val="00A06A62"/>
    <w:rsid w:val="00A25B6D"/>
    <w:rsid w:val="00A711A0"/>
    <w:rsid w:val="00AB250C"/>
    <w:rsid w:val="00B01678"/>
    <w:rsid w:val="00B13BE8"/>
    <w:rsid w:val="00B2055B"/>
    <w:rsid w:val="00B6610B"/>
    <w:rsid w:val="00B9179C"/>
    <w:rsid w:val="00B94A06"/>
    <w:rsid w:val="00BD5B65"/>
    <w:rsid w:val="00BF067A"/>
    <w:rsid w:val="00C34D41"/>
    <w:rsid w:val="00C5140C"/>
    <w:rsid w:val="00C524AC"/>
    <w:rsid w:val="00C5250E"/>
    <w:rsid w:val="00CB3B0D"/>
    <w:rsid w:val="00CB4413"/>
    <w:rsid w:val="00D720FF"/>
    <w:rsid w:val="00D92B96"/>
    <w:rsid w:val="00D95669"/>
    <w:rsid w:val="00DA15D9"/>
    <w:rsid w:val="00DF1553"/>
    <w:rsid w:val="00E1365D"/>
    <w:rsid w:val="00E173EE"/>
    <w:rsid w:val="00E322A8"/>
    <w:rsid w:val="00EB09E3"/>
    <w:rsid w:val="00EC4A68"/>
    <w:rsid w:val="00EC71C4"/>
    <w:rsid w:val="00F37776"/>
    <w:rsid w:val="00F4701A"/>
    <w:rsid w:val="00F93F68"/>
    <w:rsid w:val="00FA71D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812310"/>
  <w15:chartTrackingRefBased/>
  <w15:docId w15:val="{033A4FCD-6B3E-4650-B7BE-5A5E9E24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413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CB4413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CB4413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44B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CB44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CB4413"/>
  </w:style>
  <w:style w:type="paragraph" w:styleId="a5">
    <w:name w:val="footer"/>
    <w:basedOn w:val="a"/>
    <w:link w:val="a6"/>
    <w:unhideWhenUsed/>
    <w:rsid w:val="00CB44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4413"/>
  </w:style>
  <w:style w:type="character" w:customStyle="1" w:styleId="20">
    <w:name w:val="見出し 2 (文字)"/>
    <w:aliases w:val="Head2A (文字),2 (文字),H2 (文字),h2 (文字)"/>
    <w:basedOn w:val="a0"/>
    <w:link w:val="2"/>
    <w:rsid w:val="00CB4413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B1">
    <w:name w:val="B1"/>
    <w:basedOn w:val="a7"/>
    <w:link w:val="B1Char1"/>
    <w:qFormat/>
    <w:rsid w:val="00CB4413"/>
    <w:pPr>
      <w:ind w:left="568" w:firstLineChars="0" w:hanging="284"/>
      <w:contextualSpacing w:val="0"/>
    </w:pPr>
    <w:rPr>
      <w:lang w:eastAsia="ja-JP"/>
    </w:rPr>
  </w:style>
  <w:style w:type="paragraph" w:styleId="a8">
    <w:name w:val="Title"/>
    <w:basedOn w:val="a"/>
    <w:link w:val="a9"/>
    <w:qFormat/>
    <w:rsid w:val="00CB4413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9">
    <w:name w:val="表題 (文字)"/>
    <w:basedOn w:val="a0"/>
    <w:link w:val="a8"/>
    <w:rsid w:val="00CB4413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a">
    <w:name w:val="page number"/>
    <w:basedOn w:val="a0"/>
    <w:rsid w:val="00CB4413"/>
  </w:style>
  <w:style w:type="character" w:customStyle="1" w:styleId="10">
    <w:name w:val="見出し 1 (文字)"/>
    <w:basedOn w:val="a0"/>
    <w:link w:val="1"/>
    <w:uiPriority w:val="9"/>
    <w:rsid w:val="00CB4413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7">
    <w:name w:val="List"/>
    <w:basedOn w:val="a"/>
    <w:uiPriority w:val="99"/>
    <w:semiHidden/>
    <w:unhideWhenUsed/>
    <w:rsid w:val="00CB4413"/>
    <w:pPr>
      <w:ind w:left="200" w:hangingChars="200" w:hanging="200"/>
      <w:contextualSpacing/>
    </w:pPr>
  </w:style>
  <w:style w:type="paragraph" w:styleId="ab">
    <w:name w:val="List Paragraph"/>
    <w:basedOn w:val="a"/>
    <w:uiPriority w:val="34"/>
    <w:qFormat/>
    <w:rsid w:val="003C11B8"/>
    <w:pPr>
      <w:ind w:leftChars="400" w:left="840"/>
    </w:pPr>
  </w:style>
  <w:style w:type="character" w:customStyle="1" w:styleId="B1Char1">
    <w:name w:val="B1 Char1"/>
    <w:link w:val="B1"/>
    <w:qFormat/>
    <w:rsid w:val="00365E43"/>
    <w:rPr>
      <w:rFonts w:ascii="Times New Roman" w:eastAsia="ＭＳ 明朝" w:hAnsi="Times New Roman" w:cs="Times New Roman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365E4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365E43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365E43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365E43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"/>
    <w:link w:val="B4Char"/>
    <w:rsid w:val="00365E43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365E43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5">
    <w:name w:val="B5"/>
    <w:basedOn w:val="5"/>
    <w:link w:val="B5Char"/>
    <w:rsid w:val="00365E43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365E43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6">
    <w:name w:val="B6"/>
    <w:basedOn w:val="B5"/>
    <w:link w:val="B6Char"/>
    <w:qFormat/>
    <w:rsid w:val="00365E43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65E43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B7">
    <w:name w:val="B7"/>
    <w:basedOn w:val="B6"/>
    <w:link w:val="B7Char"/>
    <w:qFormat/>
    <w:rsid w:val="00365E43"/>
    <w:pPr>
      <w:ind w:left="2269"/>
    </w:pPr>
  </w:style>
  <w:style w:type="character" w:customStyle="1" w:styleId="B7Char">
    <w:name w:val="B7 Char"/>
    <w:link w:val="B7"/>
    <w:qFormat/>
    <w:rsid w:val="00365E4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21">
    <w:name w:val="List 2"/>
    <w:basedOn w:val="a"/>
    <w:uiPriority w:val="99"/>
    <w:semiHidden/>
    <w:unhideWhenUsed/>
    <w:rsid w:val="00365E43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365E43"/>
    <w:pPr>
      <w:ind w:leftChars="4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365E43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365E43"/>
    <w:pPr>
      <w:ind w:leftChars="800" w:left="100" w:hangingChars="200" w:hanging="200"/>
      <w:contextualSpacing/>
    </w:pPr>
  </w:style>
  <w:style w:type="character" w:styleId="ac">
    <w:name w:val="annotation reference"/>
    <w:basedOn w:val="a0"/>
    <w:uiPriority w:val="99"/>
    <w:semiHidden/>
    <w:unhideWhenUsed/>
    <w:rsid w:val="001462F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462F7"/>
  </w:style>
  <w:style w:type="character" w:customStyle="1" w:styleId="ae">
    <w:name w:val="コメント文字列 (文字)"/>
    <w:basedOn w:val="a0"/>
    <w:link w:val="ad"/>
    <w:uiPriority w:val="99"/>
    <w:semiHidden/>
    <w:rsid w:val="001462F7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62F7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1462F7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1462F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1462F7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7444B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styleId="af3">
    <w:name w:val="Body Text"/>
    <w:basedOn w:val="a"/>
    <w:link w:val="af4"/>
    <w:rsid w:val="00CB3B0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af4">
    <w:name w:val="本文 (文字)"/>
    <w:basedOn w:val="a0"/>
    <w:link w:val="af3"/>
    <w:rsid w:val="00CB3B0D"/>
    <w:rPr>
      <w:rFonts w:ascii="Arial" w:eastAsia="ＭＳ 明朝" w:hAnsi="Arial" w:cs="Times New Roman"/>
      <w:kern w:val="0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1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1779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7575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1852</Words>
  <Characters>10560</Characters>
  <Application>Microsoft Office Word</Application>
  <DocSecurity>0</DocSecurity>
  <Lines>88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5194606</dc:creator>
  <cp:keywords/>
  <dc:description/>
  <cp:lastModifiedBy>5194606</cp:lastModifiedBy>
  <cp:revision>6</cp:revision>
  <dcterms:created xsi:type="dcterms:W3CDTF">2021-08-03T08:53:00Z</dcterms:created>
  <dcterms:modified xsi:type="dcterms:W3CDTF">2021-08-04T01:26:00Z</dcterms:modified>
</cp:coreProperties>
</file>